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0558D047" w:rsidR="0083336C" w:rsidRPr="00054A55" w:rsidRDefault="00C84761" w:rsidP="0083336C">
      <w:pPr>
        <w:pStyle w:val="3GPPHeader"/>
        <w:spacing w:after="0"/>
        <w:rPr>
          <w:rFonts w:cs="Arial"/>
          <w:sz w:val="22"/>
          <w:lang w:val="en-US"/>
        </w:rPr>
      </w:pPr>
      <w:r w:rsidRPr="00054A55">
        <w:rPr>
          <w:rFonts w:cs="Arial"/>
          <w:sz w:val="22"/>
          <w:lang w:val="en-US"/>
        </w:rPr>
        <w:t>3GPP TSG-RAN1 Meeting #88</w:t>
      </w:r>
      <w:r w:rsidR="005C1ACA" w:rsidRPr="00054A55">
        <w:rPr>
          <w:rFonts w:cs="Arial"/>
          <w:sz w:val="22"/>
          <w:lang w:val="en-US"/>
        </w:rPr>
        <w:tab/>
        <w:t xml:space="preserve"> R1-17</w:t>
      </w:r>
      <w:r w:rsidR="00054A55" w:rsidRPr="00054A55">
        <w:rPr>
          <w:rFonts w:cs="Arial"/>
          <w:sz w:val="22"/>
          <w:lang w:val="en-US"/>
        </w:rPr>
        <w:t>01886</w:t>
      </w:r>
    </w:p>
    <w:p w14:paraId="2913D087" w14:textId="440F4192" w:rsidR="0083336C" w:rsidRPr="00054A55" w:rsidRDefault="00C84761" w:rsidP="0083336C">
      <w:pPr>
        <w:spacing w:after="60"/>
        <w:ind w:left="1985" w:hanging="1985"/>
        <w:rPr>
          <w:rFonts w:cs="Arial"/>
          <w:b/>
          <w:sz w:val="22"/>
        </w:rPr>
      </w:pPr>
      <w:r w:rsidRPr="00054A55">
        <w:rPr>
          <w:rFonts w:cs="Arial"/>
          <w:b/>
          <w:sz w:val="22"/>
        </w:rPr>
        <w:t>Athens, Greece, 13 - 17 February</w:t>
      </w:r>
      <w:r w:rsidR="0083336C" w:rsidRPr="00054A55">
        <w:rPr>
          <w:rFonts w:cs="Arial"/>
          <w:b/>
          <w:sz w:val="22"/>
        </w:rPr>
        <w:t xml:space="preserve"> 2016</w:t>
      </w:r>
    </w:p>
    <w:p w14:paraId="78339EA9" w14:textId="77777777" w:rsidR="0083336C" w:rsidRPr="00054A55" w:rsidRDefault="0083336C" w:rsidP="0083336C">
      <w:pPr>
        <w:pStyle w:val="3GPPHeader"/>
        <w:spacing w:after="0"/>
        <w:rPr>
          <w:rFonts w:cs="Arial"/>
          <w:sz w:val="22"/>
          <w:lang w:val="en-US"/>
        </w:rPr>
      </w:pPr>
      <w:r w:rsidRPr="00054A55">
        <w:rPr>
          <w:rFonts w:cs="Arial"/>
          <w:sz w:val="22"/>
          <w:lang w:val="en-US"/>
        </w:rPr>
        <w:tab/>
      </w:r>
    </w:p>
    <w:p w14:paraId="34E47246" w14:textId="36E5F69E" w:rsidR="00A84D06" w:rsidRPr="00054A55" w:rsidRDefault="0095783A" w:rsidP="0083336C">
      <w:pPr>
        <w:pStyle w:val="3GPPHeader"/>
        <w:spacing w:after="120"/>
        <w:rPr>
          <w:rFonts w:cs="Arial"/>
          <w:sz w:val="22"/>
          <w:lang w:val="en-US"/>
        </w:rPr>
      </w:pPr>
      <w:r w:rsidRPr="00054A55">
        <w:rPr>
          <w:rFonts w:cs="Arial"/>
          <w:sz w:val="22"/>
          <w:lang w:val="en-US"/>
        </w:rPr>
        <w:t>Agenda Item:</w:t>
      </w:r>
      <w:r w:rsidRPr="00054A55">
        <w:rPr>
          <w:rFonts w:cs="Arial"/>
          <w:sz w:val="22"/>
          <w:lang w:val="en-US"/>
        </w:rPr>
        <w:tab/>
      </w:r>
      <w:r w:rsidR="00054A55" w:rsidRPr="00054A55">
        <w:rPr>
          <w:rFonts w:cs="Arial"/>
          <w:sz w:val="22"/>
          <w:lang w:val="en-US"/>
        </w:rPr>
        <w:t>7</w:t>
      </w:r>
      <w:r w:rsidR="00C84761" w:rsidRPr="00054A55">
        <w:rPr>
          <w:rFonts w:cs="Arial"/>
          <w:sz w:val="22"/>
          <w:lang w:val="en-US"/>
        </w:rPr>
        <w:t>.</w:t>
      </w:r>
      <w:r w:rsidR="00054A55" w:rsidRPr="00054A55">
        <w:rPr>
          <w:rFonts w:cs="Arial"/>
          <w:sz w:val="22"/>
          <w:lang w:val="en-US"/>
        </w:rPr>
        <w:t>2</w:t>
      </w:r>
      <w:r w:rsidR="00C84761" w:rsidRPr="00054A55">
        <w:rPr>
          <w:rFonts w:cs="Arial"/>
          <w:sz w:val="22"/>
          <w:lang w:val="en-US"/>
        </w:rPr>
        <w:t>.</w:t>
      </w:r>
      <w:r w:rsidR="00054A55" w:rsidRPr="00054A55">
        <w:rPr>
          <w:rFonts w:cs="Arial"/>
          <w:sz w:val="22"/>
          <w:lang w:val="en-US"/>
        </w:rPr>
        <w:t>4</w:t>
      </w:r>
      <w:r w:rsidR="00C84761" w:rsidRPr="00054A55">
        <w:rPr>
          <w:rFonts w:cs="Arial"/>
          <w:sz w:val="22"/>
          <w:lang w:val="en-US"/>
        </w:rPr>
        <w:t>.</w:t>
      </w:r>
      <w:r w:rsidR="00054A55" w:rsidRPr="00054A55">
        <w:rPr>
          <w:rFonts w:cs="Arial"/>
          <w:sz w:val="22"/>
          <w:lang w:val="en-US"/>
        </w:rPr>
        <w:t>1</w:t>
      </w:r>
      <w:r w:rsidR="00C84761" w:rsidRPr="00054A55">
        <w:rPr>
          <w:rFonts w:cs="Arial"/>
          <w:sz w:val="22"/>
          <w:lang w:val="en-US"/>
        </w:rPr>
        <w:t>.</w:t>
      </w:r>
      <w:r w:rsidR="00054A55" w:rsidRPr="00054A55">
        <w:rPr>
          <w:rFonts w:cs="Arial"/>
          <w:sz w:val="22"/>
          <w:lang w:val="en-US"/>
        </w:rPr>
        <w:t>1</w:t>
      </w:r>
    </w:p>
    <w:p w14:paraId="04E58779" w14:textId="77777777" w:rsidR="0083336C" w:rsidRPr="00054A55" w:rsidRDefault="0083336C" w:rsidP="0083336C">
      <w:pPr>
        <w:pStyle w:val="3GPPHeader"/>
        <w:spacing w:after="120"/>
        <w:rPr>
          <w:rFonts w:cs="Arial"/>
          <w:sz w:val="22"/>
          <w:lang w:val="en-US"/>
        </w:rPr>
      </w:pPr>
      <w:r w:rsidRPr="00054A55">
        <w:rPr>
          <w:rFonts w:cs="Arial"/>
          <w:sz w:val="22"/>
          <w:lang w:val="en-US"/>
        </w:rPr>
        <w:t xml:space="preserve">Source: </w:t>
      </w:r>
      <w:r w:rsidRPr="00054A55">
        <w:rPr>
          <w:rFonts w:cs="Arial"/>
          <w:sz w:val="22"/>
          <w:lang w:val="en-US"/>
        </w:rPr>
        <w:tab/>
      </w:r>
      <w:r w:rsidRPr="00054A55">
        <w:rPr>
          <w:rFonts w:cs="Arial"/>
          <w:b w:val="0"/>
          <w:bCs/>
          <w:sz w:val="22"/>
          <w:lang w:val="en-US"/>
        </w:rPr>
        <w:t>Ericsson</w:t>
      </w:r>
    </w:p>
    <w:p w14:paraId="748AE321" w14:textId="6B728230" w:rsidR="0083336C" w:rsidRPr="00054A55" w:rsidRDefault="0083336C" w:rsidP="0083336C">
      <w:pPr>
        <w:pStyle w:val="3GPPHeader"/>
        <w:spacing w:after="120"/>
        <w:rPr>
          <w:rFonts w:cs="Arial"/>
          <w:b w:val="0"/>
          <w:bCs/>
          <w:sz w:val="22"/>
          <w:lang w:val="en-US"/>
        </w:rPr>
      </w:pPr>
      <w:r w:rsidRPr="00054A55">
        <w:rPr>
          <w:rFonts w:cs="Arial"/>
          <w:sz w:val="22"/>
          <w:lang w:val="en-US"/>
        </w:rPr>
        <w:t xml:space="preserve">Title:  </w:t>
      </w:r>
      <w:r w:rsidRPr="00054A55">
        <w:rPr>
          <w:rFonts w:cs="Arial"/>
          <w:sz w:val="22"/>
          <w:lang w:val="en-US"/>
        </w:rPr>
        <w:tab/>
      </w:r>
      <w:r w:rsidR="00381488" w:rsidRPr="00054A55">
        <w:rPr>
          <w:rFonts w:cs="Arial"/>
          <w:b w:val="0"/>
          <w:sz w:val="22"/>
          <w:lang w:val="en-US"/>
        </w:rPr>
        <w:t>Neighbour Cell NPRS Position Determination</w:t>
      </w:r>
    </w:p>
    <w:p w14:paraId="130780DC" w14:textId="1BC6A01E" w:rsidR="00A675B4" w:rsidRPr="0083336C" w:rsidRDefault="0083336C" w:rsidP="0083336C">
      <w:pPr>
        <w:pStyle w:val="3GPPHeader"/>
        <w:rPr>
          <w:rFonts w:cs="Arial"/>
          <w:b w:val="0"/>
          <w:bCs/>
          <w:sz w:val="22"/>
          <w:lang w:val="en-US"/>
        </w:rPr>
      </w:pPr>
      <w:r w:rsidRPr="00054A55">
        <w:rPr>
          <w:rFonts w:cs="Arial"/>
          <w:sz w:val="22"/>
          <w:lang w:val="en-US"/>
        </w:rPr>
        <w:t>Document for:</w:t>
      </w:r>
      <w:r w:rsidRPr="00054A55">
        <w:rPr>
          <w:rFonts w:cs="Arial"/>
          <w:sz w:val="22"/>
          <w:lang w:val="en-US"/>
        </w:rPr>
        <w:tab/>
      </w:r>
      <w:r w:rsidR="00C84761" w:rsidRPr="00054A55">
        <w:rPr>
          <w:rFonts w:cs="Arial"/>
          <w:b w:val="0"/>
          <w:bCs/>
          <w:sz w:val="22"/>
          <w:lang w:val="en-US"/>
        </w:rPr>
        <w:t>Decision</w:t>
      </w:r>
      <w:r w:rsidR="00D13E68" w:rsidRPr="00DF438D">
        <w:rPr>
          <w:lang w:val="en-US"/>
        </w:rPr>
        <w:tab/>
      </w:r>
    </w:p>
    <w:p w14:paraId="577D267A" w14:textId="77777777" w:rsidR="00683F57" w:rsidRDefault="00683F57" w:rsidP="00683F57">
      <w:pPr>
        <w:pStyle w:val="Heading1"/>
      </w:pPr>
      <w:bookmarkStart w:id="0" w:name="_Ref409106980"/>
      <w:r w:rsidRPr="00763114">
        <w:t>Introduction</w:t>
      </w:r>
      <w:bookmarkEnd w:id="0"/>
    </w:p>
    <w:p w14:paraId="44CC4D5B" w14:textId="5E464194" w:rsidR="009174FC" w:rsidRPr="00183548" w:rsidRDefault="00A671BF" w:rsidP="004F7BB6">
      <w:pPr>
        <w:pStyle w:val="BodyText"/>
        <w:rPr>
          <w:rFonts w:eastAsia="MS Mincho"/>
          <w:lang w:val="en-US" w:eastAsia="ja-JP"/>
        </w:rPr>
      </w:pPr>
      <w:r>
        <w:t>One of the objectives of the REL-14 NB-IoT enhancements work item is to i</w:t>
      </w:r>
      <w:r w:rsidR="009A4D99">
        <w:t xml:space="preserve">mprove the positioning support based on </w:t>
      </w:r>
      <w:r w:rsidR="00936481">
        <w:t>OTDOA</w:t>
      </w:r>
      <w:r w:rsidR="00041F81">
        <w:t xml:space="preserve"> </w:t>
      </w:r>
      <w:r w:rsidR="00041F81">
        <w:fldChar w:fldCharType="begin"/>
      </w:r>
      <w:r w:rsidR="00041F81">
        <w:instrText xml:space="preserve"> REF _Ref462665614 \r \h </w:instrText>
      </w:r>
      <w:r w:rsidR="00041F81">
        <w:fldChar w:fldCharType="separate"/>
      </w:r>
      <w:r w:rsidR="00F01A41">
        <w:t>[1]</w:t>
      </w:r>
      <w:r w:rsidR="00041F81">
        <w:fldChar w:fldCharType="end"/>
      </w:r>
      <w:r w:rsidR="00041F81">
        <w:t>.</w:t>
      </w:r>
      <w:r w:rsidR="00AF66AD">
        <w:t xml:space="preserve"> </w:t>
      </w:r>
      <w:r w:rsidR="00AF66AD">
        <w:rPr>
          <w:lang w:val="en-US" w:eastAsia="ja-JP"/>
        </w:rPr>
        <w:t>In RAN1#87</w:t>
      </w:r>
      <w:r w:rsidR="009174FC" w:rsidRPr="00525CF3">
        <w:rPr>
          <w:lang w:val="en-US" w:eastAsia="ja-JP"/>
        </w:rPr>
        <w:t>,</w:t>
      </w:r>
      <w:r w:rsidR="00AF66AD">
        <w:rPr>
          <w:lang w:val="en-US" w:eastAsia="ja-JP"/>
        </w:rPr>
        <w:t xml:space="preserve"> many agreements on</w:t>
      </w:r>
      <w:r w:rsidR="009174FC" w:rsidRPr="00525CF3">
        <w:rPr>
          <w:lang w:val="en-US" w:eastAsia="ja-JP"/>
        </w:rPr>
        <w:t xml:space="preserve"> </w:t>
      </w:r>
      <w:r w:rsidR="004F7BB6">
        <w:rPr>
          <w:rFonts w:eastAsia="MS Mincho"/>
          <w:lang w:val="en-US" w:eastAsia="ja-JP"/>
        </w:rPr>
        <w:t>narrowband</w:t>
      </w:r>
      <w:r w:rsidR="004F7BB6" w:rsidRPr="009174FC">
        <w:rPr>
          <w:rFonts w:eastAsia="MS Mincho"/>
          <w:lang w:val="en-US" w:eastAsia="ja-JP"/>
        </w:rPr>
        <w:t xml:space="preserve"> positioning</w:t>
      </w:r>
      <w:r w:rsidR="004F7BB6">
        <w:rPr>
          <w:rFonts w:eastAsia="MS Mincho"/>
          <w:lang w:val="en-US" w:eastAsia="ja-JP"/>
        </w:rPr>
        <w:t xml:space="preserve"> reference signal</w:t>
      </w:r>
      <w:r w:rsidR="00ED2A6E">
        <w:rPr>
          <w:rFonts w:eastAsia="MS Mincho"/>
          <w:lang w:val="en-US" w:eastAsia="ja-JP"/>
        </w:rPr>
        <w:t>s</w:t>
      </w:r>
      <w:r w:rsidR="004F7BB6">
        <w:rPr>
          <w:rFonts w:eastAsia="MS Mincho"/>
          <w:lang w:val="en-US" w:eastAsia="ja-JP"/>
        </w:rPr>
        <w:t xml:space="preserve"> (NPRS)</w:t>
      </w:r>
      <w:r w:rsidR="004F7BB6" w:rsidRPr="009174FC">
        <w:rPr>
          <w:rFonts w:eastAsia="MS Mincho"/>
          <w:lang w:val="en-US" w:eastAsia="ja-JP"/>
        </w:rPr>
        <w:t xml:space="preserve"> configurations</w:t>
      </w:r>
      <w:r w:rsidR="004F7BB6">
        <w:rPr>
          <w:rFonts w:cs="Arial"/>
          <w:bCs/>
          <w:lang w:val="en-US"/>
        </w:rPr>
        <w:t xml:space="preserve"> </w:t>
      </w:r>
      <w:r w:rsidR="00AF66AD">
        <w:rPr>
          <w:rFonts w:cs="Arial"/>
          <w:bCs/>
          <w:lang w:val="en-US"/>
        </w:rPr>
        <w:t>have been achieved.</w:t>
      </w:r>
      <w:r w:rsidR="005B156D">
        <w:rPr>
          <w:rFonts w:cs="Arial"/>
          <w:bCs/>
          <w:lang w:val="en-US"/>
        </w:rPr>
        <w:t xml:space="preserve"> It is however</w:t>
      </w:r>
      <w:r w:rsidR="0032098D">
        <w:rPr>
          <w:rFonts w:cs="Arial"/>
          <w:bCs/>
          <w:lang w:val="en-US"/>
        </w:rPr>
        <w:t xml:space="preserve"> still</w:t>
      </w:r>
      <w:r w:rsidR="005B156D">
        <w:rPr>
          <w:rFonts w:cs="Arial"/>
          <w:bCs/>
          <w:lang w:val="en-US"/>
        </w:rPr>
        <w:t xml:space="preserve"> not clear how to determine</w:t>
      </w:r>
      <w:r w:rsidR="00AF66AD">
        <w:rPr>
          <w:rFonts w:cs="Arial"/>
          <w:bCs/>
          <w:lang w:val="en-US"/>
        </w:rPr>
        <w:t xml:space="preserve"> </w:t>
      </w:r>
      <w:r w:rsidR="00183548">
        <w:rPr>
          <w:rFonts w:eastAsia="MS Mincho"/>
          <w:lang w:val="en-US" w:eastAsia="ja-JP"/>
        </w:rPr>
        <w:t>the n</w:t>
      </w:r>
      <w:r w:rsidR="00183548" w:rsidRPr="00183548">
        <w:rPr>
          <w:rFonts w:eastAsia="MS Mincho"/>
          <w:lang w:val="en-US" w:eastAsia="ja-JP"/>
        </w:rPr>
        <w:t xml:space="preserve">eighbour cell </w:t>
      </w:r>
      <w:r w:rsidR="00975B11">
        <w:rPr>
          <w:rFonts w:eastAsia="MS Mincho"/>
          <w:lang w:val="en-US" w:eastAsia="ja-JP"/>
        </w:rPr>
        <w:t>N</w:t>
      </w:r>
      <w:r w:rsidR="00541B8E">
        <w:rPr>
          <w:rFonts w:eastAsia="MS Mincho"/>
          <w:lang w:val="en-US" w:eastAsia="ja-JP"/>
        </w:rPr>
        <w:t>PRS position</w:t>
      </w:r>
      <w:r w:rsidR="00CF14AF">
        <w:rPr>
          <w:rFonts w:eastAsia="MS Mincho"/>
          <w:lang w:val="en-US" w:eastAsia="ja-JP"/>
        </w:rPr>
        <w:t>, which we discuss in this contribution</w:t>
      </w:r>
      <w:r w:rsidR="00183548">
        <w:rPr>
          <w:rFonts w:eastAsia="MS Mincho"/>
          <w:lang w:val="en-US" w:eastAsia="ja-JP"/>
        </w:rPr>
        <w:t xml:space="preserve">. </w:t>
      </w:r>
      <w:r w:rsidR="00AF66AD">
        <w:rPr>
          <w:rFonts w:cs="Arial"/>
          <w:bCs/>
          <w:lang w:val="en-US"/>
        </w:rPr>
        <w:t xml:space="preserve">For ease of reference, </w:t>
      </w:r>
      <w:r w:rsidR="004F7BB6">
        <w:rPr>
          <w:rFonts w:cs="Arial"/>
          <w:bCs/>
          <w:lang w:val="en-US"/>
        </w:rPr>
        <w:t>the</w:t>
      </w:r>
      <w:r w:rsidR="00AF66AD">
        <w:rPr>
          <w:rFonts w:cs="Arial"/>
          <w:bCs/>
          <w:lang w:val="en-US"/>
        </w:rPr>
        <w:t xml:space="preserve"> agreements pertinent to the discussions in this contribution</w:t>
      </w:r>
      <w:r w:rsidR="004F7BB6">
        <w:rPr>
          <w:rFonts w:cs="Arial"/>
          <w:bCs/>
          <w:lang w:val="en-US"/>
        </w:rPr>
        <w:t xml:space="preserve"> are quoted below</w:t>
      </w:r>
      <w:r w:rsidR="00AF66AD">
        <w:rPr>
          <w:rFonts w:cs="Arial"/>
          <w:bCs/>
          <w:lang w:val="en-US"/>
        </w:rPr>
        <w:t>.</w:t>
      </w:r>
    </w:p>
    <w:p w14:paraId="3D9AE6D9" w14:textId="77777777" w:rsidR="00AF66AD" w:rsidRPr="004F7BB6" w:rsidRDefault="00AF66AD" w:rsidP="00AF66AD">
      <w:pPr>
        <w:numPr>
          <w:ilvl w:val="0"/>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NPRS is configured per NB-IoT carrier transmitting NPRS</w:t>
      </w:r>
    </w:p>
    <w:p w14:paraId="7A96F2D0" w14:textId="77777777" w:rsidR="00AF66AD" w:rsidRPr="004F7BB6" w:rsidRDefault="00AF66AD" w:rsidP="00AF66AD">
      <w:pPr>
        <w:numPr>
          <w:ilvl w:val="1"/>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Each NB-IoT carrier can have different configuration parameter</w:t>
      </w:r>
    </w:p>
    <w:p w14:paraId="0BEE098E" w14:textId="5B7CDB79" w:rsidR="00AF66AD" w:rsidRPr="004F7BB6" w:rsidRDefault="00AF66AD" w:rsidP="00AF66AD">
      <w:pPr>
        <w:numPr>
          <w:ilvl w:val="1"/>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 xml:space="preserve">Part </w:t>
      </w:r>
      <w:r w:rsidR="001C19B2" w:rsidRPr="004F7BB6">
        <w:rPr>
          <w:rFonts w:eastAsia="MS Mincho"/>
          <w:i/>
          <w:lang w:val="en-US" w:eastAsia="ja-JP"/>
        </w:rPr>
        <w:t>A: A</w:t>
      </w:r>
      <w:r w:rsidRPr="004F7BB6">
        <w:rPr>
          <w:rFonts w:eastAsia="MS Mincho"/>
          <w:i/>
          <w:lang w:val="en-US" w:eastAsia="ja-JP"/>
        </w:rPr>
        <w:t xml:space="preserve"> bitmap for NPRS subframe indication in one NPRS occasion</w:t>
      </w:r>
    </w:p>
    <w:p w14:paraId="45F146F4" w14:textId="77777777" w:rsidR="00AF66AD" w:rsidRPr="004F7BB6" w:rsidRDefault="00AF66AD" w:rsidP="00AF66AD">
      <w:pPr>
        <w:numPr>
          <w:ilvl w:val="2"/>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bitmap length is the same as valid subframe configuration, i.e. 10 bits or 40 bits</w:t>
      </w:r>
    </w:p>
    <w:p w14:paraId="543BEB96" w14:textId="77777777" w:rsidR="00AF66AD" w:rsidRPr="004F7BB6" w:rsidRDefault="00AF66AD" w:rsidP="00AF66AD">
      <w:pPr>
        <w:numPr>
          <w:ilvl w:val="2"/>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Subframes not containing NPRS are indicated with ‘0’</w:t>
      </w:r>
    </w:p>
    <w:p w14:paraId="19C9B761" w14:textId="15E59552" w:rsidR="00AF66AD" w:rsidRDefault="00AF66AD" w:rsidP="00AF66AD">
      <w:pPr>
        <w:numPr>
          <w:ilvl w:val="2"/>
          <w:numId w:val="40"/>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Subframes containing NPRS are indicated with ‘1’</w:t>
      </w:r>
    </w:p>
    <w:p w14:paraId="239E393E" w14:textId="77777777" w:rsidR="00054A55" w:rsidRPr="004F7BB6" w:rsidRDefault="00054A55" w:rsidP="00054A55">
      <w:pPr>
        <w:overflowPunct/>
        <w:autoSpaceDE/>
        <w:autoSpaceDN/>
        <w:adjustRightInd/>
        <w:spacing w:after="0"/>
        <w:ind w:left="2160"/>
        <w:jc w:val="left"/>
        <w:textAlignment w:val="auto"/>
        <w:rPr>
          <w:rFonts w:eastAsia="MS Mincho"/>
          <w:i/>
          <w:lang w:val="en-US" w:eastAsia="ja-JP"/>
        </w:rPr>
      </w:pPr>
    </w:p>
    <w:p w14:paraId="441F4171" w14:textId="103DDA35" w:rsidR="00AF66AD" w:rsidRPr="004F7BB6" w:rsidRDefault="00AF66AD" w:rsidP="00AF66AD">
      <w:pPr>
        <w:numPr>
          <w:ilvl w:val="0"/>
          <w:numId w:val="41"/>
        </w:numPr>
        <w:overflowPunct/>
        <w:autoSpaceDE/>
        <w:autoSpaceDN/>
        <w:adjustRightInd/>
        <w:spacing w:after="0"/>
        <w:jc w:val="left"/>
        <w:textAlignment w:val="auto"/>
        <w:rPr>
          <w:rFonts w:eastAsia="MS Mincho"/>
          <w:i/>
          <w:iCs/>
          <w:lang w:eastAsia="ja-JP"/>
        </w:rPr>
      </w:pPr>
      <w:r w:rsidRPr="004F7BB6">
        <w:rPr>
          <w:rFonts w:eastAsia="MS Mincho"/>
          <w:i/>
          <w:iCs/>
          <w:lang w:eastAsia="ja-JP"/>
        </w:rPr>
        <w:t xml:space="preserve">Signalling is provided for the UE to indicate its capability </w:t>
      </w:r>
      <w:r w:rsidR="001C19B2" w:rsidRPr="004F7BB6">
        <w:rPr>
          <w:rFonts w:eastAsia="MS Mincho"/>
          <w:i/>
          <w:iCs/>
          <w:lang w:eastAsia="ja-JP"/>
        </w:rPr>
        <w:t>of maximal</w:t>
      </w:r>
      <w:r w:rsidRPr="004F7BB6">
        <w:rPr>
          <w:rFonts w:eastAsia="MS Mincho"/>
          <w:i/>
          <w:iCs/>
          <w:lang w:eastAsia="ja-JP"/>
        </w:rPr>
        <w:t xml:space="preserve"> bandwidth for RSTD measurement for OTDOA positioning to the E-SMLC in LPP</w:t>
      </w:r>
    </w:p>
    <w:p w14:paraId="7E1E771F" w14:textId="77777777" w:rsidR="00AF66AD" w:rsidRPr="004F7BB6" w:rsidRDefault="00AF66AD" w:rsidP="00AF66AD">
      <w:pPr>
        <w:numPr>
          <w:ilvl w:val="0"/>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An NB-IoT UE can receive assistance information regarding LTE PRS.</w:t>
      </w:r>
    </w:p>
    <w:p w14:paraId="71CCCFC1" w14:textId="77777777" w:rsidR="00AF66AD" w:rsidRPr="004F7BB6" w:rsidRDefault="00AF66AD" w:rsidP="00AF66AD">
      <w:pPr>
        <w:numPr>
          <w:ilvl w:val="1"/>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This includes additional PRS configurations introduced in Rel-14 Indoor Positioning and FeMTC work items (if any).</w:t>
      </w:r>
    </w:p>
    <w:p w14:paraId="594B03BE" w14:textId="77777777" w:rsidR="00AF66AD" w:rsidRPr="004F7BB6" w:rsidRDefault="00AF66AD" w:rsidP="00AF66AD">
      <w:pPr>
        <w:numPr>
          <w:ilvl w:val="0"/>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UE is not required to receive any reference signal not within the bandwidth of one NB-IoT carrier containing NPRS at a time.</w:t>
      </w:r>
    </w:p>
    <w:p w14:paraId="2DDB67C4" w14:textId="77777777" w:rsidR="00AF66AD" w:rsidRPr="004F7BB6" w:rsidRDefault="00AF66AD" w:rsidP="00AF66AD">
      <w:pPr>
        <w:numPr>
          <w:ilvl w:val="0"/>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RAN4 are requested to set requirements for NB-IoT positioning assuming UE uses only NPRS within one carrier.</w:t>
      </w:r>
    </w:p>
    <w:p w14:paraId="55289894" w14:textId="4DE6ED2A" w:rsidR="00AF66AD" w:rsidRPr="004F7BB6" w:rsidRDefault="001C19B2" w:rsidP="00AF66AD">
      <w:pPr>
        <w:numPr>
          <w:ilvl w:val="1"/>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Additionally,</w:t>
      </w:r>
      <w:r w:rsidR="00AF66AD" w:rsidRPr="004F7BB6">
        <w:rPr>
          <w:rFonts w:eastAsia="MS Mincho"/>
          <w:i/>
          <w:lang w:val="en-US" w:eastAsia="ja-JP"/>
        </w:rPr>
        <w:t xml:space="preserve"> or alternatively, an NB-IoT UE can receive assistance information regarding 1-PRB NPRS</w:t>
      </w:r>
    </w:p>
    <w:p w14:paraId="11723F75" w14:textId="77777777" w:rsidR="00AF66AD" w:rsidRPr="004F7BB6" w:rsidRDefault="00AF66AD" w:rsidP="00AF66AD">
      <w:pPr>
        <w:numPr>
          <w:ilvl w:val="1"/>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For Part-B NB-IoT specific assistance information:</w:t>
      </w:r>
    </w:p>
    <w:p w14:paraId="66F92F3D" w14:textId="77777777" w:rsidR="00AF66AD" w:rsidRPr="004F7BB6" w:rsidRDefault="00AF66AD" w:rsidP="00AF66AD">
      <w:pPr>
        <w:numPr>
          <w:ilvl w:val="2"/>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Number of subframes of NPRS in one occasion is N</w:t>
      </w:r>
      <w:r w:rsidRPr="004F7BB6">
        <w:rPr>
          <w:rFonts w:eastAsia="MS Mincho"/>
          <w:i/>
          <w:vertAlign w:val="subscript"/>
          <w:lang w:val="en-US" w:eastAsia="ja-JP"/>
        </w:rPr>
        <w:t xml:space="preserve">PRS </w:t>
      </w:r>
      <w:r w:rsidRPr="004F7BB6">
        <w:rPr>
          <w:rFonts w:eastAsia="MS Mincho"/>
          <w:i/>
          <w:lang w:val="en-US" w:eastAsia="ja-JP"/>
        </w:rPr>
        <w:t xml:space="preserve">{10, 20, 40, 80, 160, 320, 640, 1280} </w:t>
      </w:r>
    </w:p>
    <w:p w14:paraId="009618CC" w14:textId="77777777" w:rsidR="00AF66AD" w:rsidRPr="004F7BB6" w:rsidRDefault="00AF66AD" w:rsidP="00AF66AD">
      <w:pPr>
        <w:numPr>
          <w:ilvl w:val="2"/>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Periodicity of NPRS occasion T</w:t>
      </w:r>
      <w:r w:rsidRPr="004F7BB6">
        <w:rPr>
          <w:rFonts w:eastAsia="MS Mincho"/>
          <w:i/>
          <w:vertAlign w:val="subscript"/>
          <w:lang w:val="en-US" w:eastAsia="ja-JP"/>
        </w:rPr>
        <w:t>PRS</w:t>
      </w:r>
      <w:r w:rsidRPr="004F7BB6">
        <w:rPr>
          <w:rFonts w:eastAsia="MS Mincho"/>
          <w:i/>
          <w:lang w:val="en-US" w:eastAsia="ja-JP"/>
        </w:rPr>
        <w:t>: 160ms, 320ms, 640ms, 1280ms.</w:t>
      </w:r>
    </w:p>
    <w:p w14:paraId="1941F13A" w14:textId="77777777" w:rsidR="00AF66AD" w:rsidRPr="004F7BB6" w:rsidRDefault="00AF66AD" w:rsidP="00AF66AD">
      <w:pPr>
        <w:numPr>
          <w:ilvl w:val="2"/>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Valid configurations are those satisfying N</w:t>
      </w:r>
      <w:r w:rsidRPr="004F7BB6">
        <w:rPr>
          <w:rFonts w:eastAsia="MS Mincho"/>
          <w:i/>
          <w:vertAlign w:val="subscript"/>
          <w:lang w:val="en-US" w:eastAsia="ja-JP"/>
        </w:rPr>
        <w:t>PRS</w:t>
      </w:r>
      <w:r w:rsidRPr="004F7BB6">
        <w:rPr>
          <w:rFonts w:eastAsia="MS Mincho"/>
          <w:i/>
          <w:lang w:val="en-US" w:eastAsia="ja-JP"/>
        </w:rPr>
        <w:t xml:space="preserve"> &lt;= T</w:t>
      </w:r>
      <w:r w:rsidRPr="004F7BB6">
        <w:rPr>
          <w:rFonts w:eastAsia="MS Mincho"/>
          <w:i/>
          <w:vertAlign w:val="subscript"/>
          <w:lang w:val="en-US" w:eastAsia="ja-JP"/>
        </w:rPr>
        <w:t>PRS</w:t>
      </w:r>
    </w:p>
    <w:p w14:paraId="11CFEA82" w14:textId="46947EA7" w:rsidR="00AF66AD" w:rsidRPr="004F7BB6" w:rsidRDefault="00AF66AD" w:rsidP="00AF66AD">
      <w:pPr>
        <w:numPr>
          <w:ilvl w:val="2"/>
          <w:numId w:val="41"/>
        </w:numPr>
        <w:overflowPunct/>
        <w:autoSpaceDE/>
        <w:autoSpaceDN/>
        <w:adjustRightInd/>
        <w:spacing w:after="0"/>
        <w:jc w:val="left"/>
        <w:textAlignment w:val="auto"/>
        <w:rPr>
          <w:rFonts w:eastAsia="MS Mincho"/>
          <w:i/>
          <w:lang w:val="en-US" w:eastAsia="ja-JP"/>
        </w:rPr>
      </w:pPr>
      <w:r w:rsidRPr="004F7BB6">
        <w:rPr>
          <w:rFonts w:eastAsia="MS Mincho"/>
          <w:i/>
          <w:lang w:val="en-US" w:eastAsia="ja-JP"/>
        </w:rPr>
        <w:t xml:space="preserve">For a given periodicity of NPRS occasion, the starting subframe offset of NPRS occasion = </w:t>
      </w:r>
      <m:oMath>
        <m:r>
          <w:rPr>
            <w:rFonts w:ascii="Cambria Math" w:hAnsi="Cambria Math"/>
            <w:color w:val="000000"/>
            <w:kern w:val="24"/>
            <w:lang w:val="en-US"/>
          </w:rPr>
          <m:t>αT</m:t>
        </m:r>
        <m:r>
          <w:rPr>
            <w:rFonts w:ascii="Cambria Math" w:hAnsi="Cambria Math"/>
            <w:color w:val="000000"/>
            <w:kern w:val="24"/>
            <w:position w:val="-8"/>
            <w:vertAlign w:val="subscript"/>
            <w:lang w:val="en-US"/>
          </w:rPr>
          <m:t>PRS</m:t>
        </m:r>
      </m:oMath>
      <w:r w:rsidRPr="004F7BB6">
        <w:rPr>
          <w:rFonts w:eastAsia="MS Mincho"/>
          <w:i/>
          <w:lang w:val="en-US" w:eastAsia="ja-JP"/>
        </w:rPr>
        <w:t xml:space="preserve">, </w:t>
      </w:r>
      <m:oMath>
        <m:r>
          <w:rPr>
            <w:rFonts w:ascii="Cambria Math" w:hAnsi="Cambria Math"/>
            <w:color w:val="000000"/>
            <w:kern w:val="24"/>
            <w:lang w:val="en-US"/>
          </w:rPr>
          <m:t>α∈{0,</m:t>
        </m:r>
        <m:f>
          <m:fPr>
            <m:ctrlPr>
              <w:rPr>
                <w:rFonts w:ascii="Cambria Math" w:hAnsi="Cambria Math"/>
                <w:i/>
                <w:iCs/>
                <w:color w:val="000000"/>
                <w:kern w:val="24"/>
                <w:lang w:val="en-US"/>
              </w:rPr>
            </m:ctrlPr>
          </m:fPr>
          <m:num>
            <m:r>
              <w:rPr>
                <w:rFonts w:ascii="Cambria Math" w:hAnsi="Cambria Math"/>
                <w:color w:val="000000"/>
                <w:kern w:val="24"/>
                <w:lang w:val="en-US"/>
              </w:rPr>
              <m:t>1</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2</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3</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4</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5</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6</m:t>
            </m:r>
          </m:num>
          <m:den>
            <m:r>
              <w:rPr>
                <w:rFonts w:ascii="Cambria Math" w:hAnsi="Cambria Math"/>
                <w:color w:val="000000"/>
                <w:kern w:val="24"/>
                <w:lang w:val="en-US"/>
              </w:rPr>
              <m:t>8</m:t>
            </m:r>
          </m:den>
        </m:f>
        <m:r>
          <w:rPr>
            <w:rFonts w:ascii="Cambria Math" w:hAnsi="Cambria Math"/>
            <w:color w:val="000000"/>
            <w:kern w:val="24"/>
            <w:lang w:val="en-US"/>
          </w:rPr>
          <m:t>,</m:t>
        </m:r>
        <m:f>
          <m:fPr>
            <m:ctrlPr>
              <w:rPr>
                <w:rFonts w:ascii="Cambria Math" w:hAnsi="Cambria Math"/>
                <w:i/>
                <w:iCs/>
                <w:color w:val="000000"/>
                <w:kern w:val="24"/>
                <w:lang w:val="en-US"/>
              </w:rPr>
            </m:ctrlPr>
          </m:fPr>
          <m:num>
            <m:r>
              <w:rPr>
                <w:rFonts w:ascii="Cambria Math" w:hAnsi="Cambria Math"/>
                <w:color w:val="000000"/>
                <w:kern w:val="24"/>
                <w:lang w:val="en-US"/>
              </w:rPr>
              <m:t>7</m:t>
            </m:r>
          </m:num>
          <m:den>
            <m:r>
              <w:rPr>
                <w:rFonts w:ascii="Cambria Math" w:hAnsi="Cambria Math"/>
                <w:color w:val="000000"/>
                <w:kern w:val="24"/>
                <w:lang w:val="en-US"/>
              </w:rPr>
              <m:t>8</m:t>
            </m:r>
          </m:den>
        </m:f>
        <m:r>
          <w:rPr>
            <w:rFonts w:ascii="Cambria Math" w:hAnsi="Cambria Math"/>
            <w:color w:val="000000"/>
            <w:kern w:val="24"/>
            <w:lang w:val="en-US"/>
          </w:rPr>
          <m:t>}</m:t>
        </m:r>
      </m:oMath>
    </w:p>
    <w:p w14:paraId="5A956A3D" w14:textId="5A165D50" w:rsidR="0072236D" w:rsidRDefault="00F6688A" w:rsidP="001726E9">
      <w:pPr>
        <w:pStyle w:val="Heading1"/>
      </w:pPr>
      <w:r>
        <w:rPr>
          <w:rFonts w:eastAsia="MS Mincho"/>
          <w:lang w:val="en-US" w:eastAsia="ja-JP"/>
        </w:rPr>
        <w:t>Discussion</w:t>
      </w:r>
    </w:p>
    <w:p w14:paraId="485BC3E5" w14:textId="672D789F" w:rsidR="00525CF3" w:rsidRDefault="001C7D7F" w:rsidP="001C7D7F">
      <w:pPr>
        <w:pStyle w:val="Heading2"/>
        <w:rPr>
          <w:lang w:val="en-US"/>
        </w:rPr>
      </w:pPr>
      <w:r>
        <w:rPr>
          <w:lang w:val="en-US"/>
        </w:rPr>
        <w:t>Neighbor C</w:t>
      </w:r>
      <w:r w:rsidRPr="001C7D7F">
        <w:rPr>
          <w:lang w:val="en-US"/>
        </w:rPr>
        <w:t xml:space="preserve">ell </w:t>
      </w:r>
      <w:r w:rsidR="00166FA4">
        <w:rPr>
          <w:lang w:val="en-US"/>
        </w:rPr>
        <w:t xml:space="preserve">PRS Position </w:t>
      </w:r>
      <w:r w:rsidR="000F343F">
        <w:rPr>
          <w:lang w:val="en-US"/>
        </w:rPr>
        <w:t>De</w:t>
      </w:r>
      <w:r w:rsidR="001E4331">
        <w:rPr>
          <w:lang w:val="en-US"/>
        </w:rPr>
        <w:t>termination</w:t>
      </w:r>
      <w:r>
        <w:rPr>
          <w:lang w:val="en-US"/>
        </w:rPr>
        <w:t xml:space="preserve"> in </w:t>
      </w:r>
      <w:r w:rsidR="002E68DF">
        <w:rPr>
          <w:lang w:val="en-US"/>
        </w:rPr>
        <w:t xml:space="preserve">LTE </w:t>
      </w:r>
    </w:p>
    <w:p w14:paraId="6808F80B" w14:textId="0BD37643" w:rsidR="00764144" w:rsidRDefault="00166FA4" w:rsidP="002E68DF">
      <w:pPr>
        <w:pStyle w:val="TAL"/>
        <w:keepNext w:val="0"/>
        <w:keepLines w:val="0"/>
        <w:widowControl w:val="0"/>
        <w:rPr>
          <w:noProof/>
          <w:sz w:val="20"/>
          <w:lang w:val="en-US"/>
        </w:rPr>
      </w:pPr>
      <w:r w:rsidRPr="002E68DF">
        <w:rPr>
          <w:noProof/>
          <w:sz w:val="20"/>
          <w:lang w:val="en-US"/>
        </w:rPr>
        <w:t>In</w:t>
      </w:r>
      <w:r w:rsidR="002E68DF" w:rsidRPr="002E68DF">
        <w:rPr>
          <w:noProof/>
          <w:sz w:val="20"/>
          <w:lang w:val="en-US"/>
        </w:rPr>
        <w:t xml:space="preserve"> the existing LPP for</w:t>
      </w:r>
      <w:r w:rsidRPr="002E68DF">
        <w:rPr>
          <w:noProof/>
          <w:sz w:val="20"/>
          <w:lang w:val="en-US"/>
        </w:rPr>
        <w:t xml:space="preserve"> LTE</w:t>
      </w:r>
      <w:r w:rsidR="002E68DF" w:rsidRPr="002E68DF">
        <w:rPr>
          <w:noProof/>
          <w:sz w:val="20"/>
          <w:lang w:val="en-US"/>
        </w:rPr>
        <w:t xml:space="preserve"> OTDOA</w:t>
      </w:r>
      <w:r w:rsidRPr="002E68DF">
        <w:rPr>
          <w:noProof/>
          <w:sz w:val="20"/>
          <w:lang w:val="en-US"/>
        </w:rPr>
        <w:t xml:space="preserve">, </w:t>
      </w:r>
      <w:r w:rsidR="00764144">
        <w:rPr>
          <w:noProof/>
          <w:sz w:val="20"/>
          <w:lang w:val="en-US"/>
        </w:rPr>
        <w:t>if the reference cell is the serving cell, the PRS position</w:t>
      </w:r>
      <w:r w:rsidR="00FA505B">
        <w:rPr>
          <w:noProof/>
          <w:sz w:val="20"/>
          <w:lang w:val="en-US"/>
        </w:rPr>
        <w:t xml:space="preserve"> of the reference cell</w:t>
      </w:r>
      <w:r w:rsidR="00764144">
        <w:rPr>
          <w:noProof/>
          <w:sz w:val="20"/>
          <w:lang w:val="en-US"/>
        </w:rPr>
        <w:t xml:space="preserve"> can be de</w:t>
      </w:r>
      <w:r w:rsidR="00444AFF">
        <w:rPr>
          <w:noProof/>
          <w:sz w:val="20"/>
          <w:lang w:val="en-US"/>
        </w:rPr>
        <w:t xml:space="preserve">termined </w:t>
      </w:r>
      <w:r w:rsidR="00764144">
        <w:rPr>
          <w:noProof/>
          <w:sz w:val="20"/>
          <w:lang w:val="en-US"/>
        </w:rPr>
        <w:t>wi</w:t>
      </w:r>
      <w:r w:rsidR="00444AFF">
        <w:rPr>
          <w:noProof/>
          <w:sz w:val="20"/>
          <w:lang w:val="en-US"/>
        </w:rPr>
        <w:t>th the known</w:t>
      </w:r>
      <w:r w:rsidR="00764144">
        <w:rPr>
          <w:noProof/>
          <w:sz w:val="20"/>
          <w:lang w:val="en-US"/>
        </w:rPr>
        <w:t xml:space="preserve"> SFN of the serving cell. If the reference cell is not the serving cell</w:t>
      </w:r>
    </w:p>
    <w:p w14:paraId="49CAB695" w14:textId="0EFEBE1A" w:rsidR="002E68DF" w:rsidRPr="002E68DF" w:rsidRDefault="00166FA4" w:rsidP="002E68DF">
      <w:pPr>
        <w:pStyle w:val="TAL"/>
        <w:keepNext w:val="0"/>
        <w:keepLines w:val="0"/>
        <w:widowControl w:val="0"/>
        <w:rPr>
          <w:snapToGrid w:val="0"/>
          <w:sz w:val="20"/>
        </w:rPr>
      </w:pPr>
      <w:r w:rsidRPr="002E68DF">
        <w:rPr>
          <w:noProof/>
          <w:sz w:val="20"/>
          <w:lang w:val="en-US"/>
        </w:rPr>
        <w:t>the PRS position</w:t>
      </w:r>
      <w:r w:rsidR="00DA24AF">
        <w:rPr>
          <w:noProof/>
          <w:sz w:val="20"/>
          <w:lang w:val="en-US"/>
        </w:rPr>
        <w:t xml:space="preserve"> information of the reference cell</w:t>
      </w:r>
      <w:r w:rsidRPr="002E68DF">
        <w:rPr>
          <w:noProof/>
          <w:sz w:val="20"/>
          <w:lang w:val="en-US"/>
        </w:rPr>
        <w:t xml:space="preserve"> </w:t>
      </w:r>
      <w:r w:rsidR="00764144">
        <w:rPr>
          <w:noProof/>
          <w:sz w:val="20"/>
          <w:lang w:val="en-US"/>
        </w:rPr>
        <w:t xml:space="preserve">is </w:t>
      </w:r>
      <w:r w:rsidR="00C74030">
        <w:rPr>
          <w:noProof/>
          <w:sz w:val="20"/>
          <w:lang w:val="en-US"/>
        </w:rPr>
        <w:t>explici</w:t>
      </w:r>
      <w:r w:rsidRPr="002E68DF">
        <w:rPr>
          <w:noProof/>
          <w:sz w:val="20"/>
          <w:lang w:val="en-US"/>
        </w:rPr>
        <w:t>t</w:t>
      </w:r>
      <w:r w:rsidR="00C74030">
        <w:rPr>
          <w:noProof/>
          <w:sz w:val="20"/>
          <w:lang w:val="en-US"/>
        </w:rPr>
        <w:t>l</w:t>
      </w:r>
      <w:r w:rsidRPr="002E68DF">
        <w:rPr>
          <w:noProof/>
          <w:sz w:val="20"/>
          <w:lang w:val="en-US"/>
        </w:rPr>
        <w:t xml:space="preserve">y signaled. </w:t>
      </w:r>
      <w:r w:rsidR="00FA4658">
        <w:rPr>
          <w:noProof/>
          <w:sz w:val="20"/>
          <w:lang w:val="en-US"/>
        </w:rPr>
        <w:t>In contrast, t</w:t>
      </w:r>
      <w:r w:rsidRPr="002E68DF">
        <w:rPr>
          <w:noProof/>
          <w:sz w:val="20"/>
          <w:lang w:val="en-US"/>
        </w:rPr>
        <w:t>he</w:t>
      </w:r>
      <w:r w:rsidR="00E87427">
        <w:rPr>
          <w:noProof/>
          <w:sz w:val="20"/>
          <w:lang w:val="en-US"/>
        </w:rPr>
        <w:t xml:space="preserve"> SFN</w:t>
      </w:r>
      <w:r w:rsidR="002E68DF" w:rsidRPr="002E68DF">
        <w:rPr>
          <w:noProof/>
          <w:sz w:val="20"/>
          <w:lang w:val="en-US"/>
        </w:rPr>
        <w:t>s of neighbo</w:t>
      </w:r>
      <w:r w:rsidR="002B7910">
        <w:rPr>
          <w:noProof/>
          <w:sz w:val="20"/>
          <w:lang w:val="en-US"/>
        </w:rPr>
        <w:t>u</w:t>
      </w:r>
      <w:r w:rsidR="002E68DF" w:rsidRPr="002E68DF">
        <w:rPr>
          <w:noProof/>
          <w:sz w:val="20"/>
          <w:lang w:val="en-US"/>
        </w:rPr>
        <w:t xml:space="preserve">r cells are not signaled, and thus the content of the </w:t>
      </w:r>
      <w:r w:rsidR="002E68DF" w:rsidRPr="002E68DF">
        <w:rPr>
          <w:b/>
          <w:i/>
          <w:snapToGrid w:val="0"/>
          <w:sz w:val="20"/>
        </w:rPr>
        <w:t xml:space="preserve">prsInfo </w:t>
      </w:r>
      <w:r w:rsidR="002E68DF" w:rsidRPr="002E68DF">
        <w:rPr>
          <w:snapToGrid w:val="0"/>
          <w:sz w:val="20"/>
        </w:rPr>
        <w:t>field</w:t>
      </w:r>
      <w:r w:rsidR="00444AFF">
        <w:rPr>
          <w:snapToGrid w:val="0"/>
          <w:sz w:val="20"/>
        </w:rPr>
        <w:t xml:space="preserve"> of a neighbour cell</w:t>
      </w:r>
      <w:r w:rsidR="002E68DF" w:rsidRPr="002E68DF">
        <w:rPr>
          <w:snapToGrid w:val="0"/>
          <w:sz w:val="20"/>
        </w:rPr>
        <w:t xml:space="preserve"> alone is not sufficient to determine the PRS </w:t>
      </w:r>
      <w:r w:rsidR="00444AFF">
        <w:rPr>
          <w:noProof/>
          <w:sz w:val="20"/>
          <w:lang w:val="en-US"/>
        </w:rPr>
        <w:t xml:space="preserve">position </w:t>
      </w:r>
      <w:r w:rsidR="002E68DF" w:rsidRPr="002E68DF">
        <w:rPr>
          <w:noProof/>
          <w:sz w:val="20"/>
          <w:lang w:val="en-US"/>
        </w:rPr>
        <w:t>of the neighbo</w:t>
      </w:r>
      <w:r w:rsidR="002B7910">
        <w:rPr>
          <w:noProof/>
          <w:sz w:val="20"/>
          <w:lang w:val="en-US"/>
        </w:rPr>
        <w:t>u</w:t>
      </w:r>
      <w:r w:rsidR="00444AFF">
        <w:rPr>
          <w:noProof/>
          <w:sz w:val="20"/>
          <w:lang w:val="en-US"/>
        </w:rPr>
        <w:t>r cell</w:t>
      </w:r>
      <w:r w:rsidR="002E68DF" w:rsidRPr="002E68DF">
        <w:rPr>
          <w:noProof/>
          <w:sz w:val="20"/>
          <w:lang w:val="en-US"/>
        </w:rPr>
        <w:t>. Instead, the following rule is specified</w:t>
      </w:r>
      <w:r w:rsidR="00E83D47">
        <w:rPr>
          <w:noProof/>
          <w:sz w:val="20"/>
          <w:lang w:val="en-US"/>
        </w:rPr>
        <w:t xml:space="preserve"> in TS36.355 </w:t>
      </w:r>
      <w:r w:rsidR="00E83D47">
        <w:rPr>
          <w:noProof/>
          <w:sz w:val="20"/>
          <w:lang w:val="en-US"/>
        </w:rPr>
        <w:fldChar w:fldCharType="begin"/>
      </w:r>
      <w:r w:rsidR="00E83D47">
        <w:rPr>
          <w:noProof/>
          <w:sz w:val="20"/>
          <w:lang w:val="en-US"/>
        </w:rPr>
        <w:instrText xml:space="preserve"> REF _Ref471305097 \r \h </w:instrText>
      </w:r>
      <w:r w:rsidR="00E83D47">
        <w:rPr>
          <w:noProof/>
          <w:sz w:val="20"/>
          <w:lang w:val="en-US"/>
        </w:rPr>
      </w:r>
      <w:r w:rsidR="00E83D47">
        <w:rPr>
          <w:noProof/>
          <w:sz w:val="20"/>
          <w:lang w:val="en-US"/>
        </w:rPr>
        <w:fldChar w:fldCharType="separate"/>
      </w:r>
      <w:r w:rsidR="00F01A41">
        <w:rPr>
          <w:noProof/>
          <w:sz w:val="20"/>
          <w:lang w:val="en-US"/>
        </w:rPr>
        <w:t>[2]</w:t>
      </w:r>
      <w:r w:rsidR="00E83D47">
        <w:rPr>
          <w:noProof/>
          <w:sz w:val="20"/>
          <w:lang w:val="en-US"/>
        </w:rPr>
        <w:fldChar w:fldCharType="end"/>
      </w:r>
      <w:r w:rsidR="00E83D47">
        <w:rPr>
          <w:noProof/>
          <w:sz w:val="20"/>
          <w:lang w:val="en-US"/>
        </w:rPr>
        <w:t xml:space="preserve"> together</w:t>
      </w:r>
      <w:r w:rsidR="00CB224D">
        <w:rPr>
          <w:noProof/>
          <w:sz w:val="20"/>
          <w:lang w:val="en-US"/>
        </w:rPr>
        <w:t xml:space="preserve"> with</w:t>
      </w:r>
      <w:r w:rsidR="00E83D47">
        <w:rPr>
          <w:noProof/>
          <w:sz w:val="20"/>
          <w:lang w:val="en-US"/>
        </w:rPr>
        <w:t xml:space="preserve"> the</w:t>
      </w:r>
      <w:r w:rsidR="00CB224D">
        <w:rPr>
          <w:noProof/>
          <w:sz w:val="20"/>
          <w:lang w:val="en-US"/>
        </w:rPr>
        <w:t xml:space="preserve"> </w:t>
      </w:r>
      <w:r w:rsidR="00CB224D" w:rsidRPr="002E68DF">
        <w:rPr>
          <w:b/>
          <w:i/>
          <w:snapToGrid w:val="0"/>
          <w:sz w:val="20"/>
        </w:rPr>
        <w:t>prsInfo</w:t>
      </w:r>
      <w:r w:rsidR="00E83D47">
        <w:rPr>
          <w:b/>
          <w:i/>
          <w:snapToGrid w:val="0"/>
          <w:sz w:val="20"/>
        </w:rPr>
        <w:t xml:space="preserve"> </w:t>
      </w:r>
      <w:r w:rsidR="00E83D47" w:rsidRPr="00E83D47">
        <w:rPr>
          <w:snapToGrid w:val="0"/>
          <w:sz w:val="20"/>
        </w:rPr>
        <w:t>field</w:t>
      </w:r>
      <w:r w:rsidR="002E68DF" w:rsidRPr="002E68DF">
        <w:rPr>
          <w:noProof/>
          <w:sz w:val="20"/>
          <w:lang w:val="en-US"/>
        </w:rPr>
        <w:t xml:space="preserve"> to enable the </w:t>
      </w:r>
      <w:r w:rsidR="002E68DF" w:rsidRPr="002E68DF">
        <w:rPr>
          <w:snapToGrid w:val="0"/>
          <w:sz w:val="20"/>
        </w:rPr>
        <w:t xml:space="preserve">determination of the PRS </w:t>
      </w:r>
      <w:r w:rsidR="002E68DF" w:rsidRPr="002E68DF">
        <w:rPr>
          <w:noProof/>
          <w:sz w:val="20"/>
          <w:lang w:val="en-US"/>
        </w:rPr>
        <w:t>position of the neighbo</w:t>
      </w:r>
      <w:r w:rsidR="002B7910">
        <w:rPr>
          <w:noProof/>
          <w:sz w:val="20"/>
          <w:lang w:val="en-US"/>
        </w:rPr>
        <w:t>u</w:t>
      </w:r>
      <w:r w:rsidR="002E68DF" w:rsidRPr="002E68DF">
        <w:rPr>
          <w:noProof/>
          <w:sz w:val="20"/>
          <w:lang w:val="en-US"/>
        </w:rPr>
        <w:t>r cells.</w:t>
      </w:r>
    </w:p>
    <w:p w14:paraId="209D6F65" w14:textId="007C4A24" w:rsidR="000F343F" w:rsidRDefault="000F343F" w:rsidP="000F343F">
      <w:pPr>
        <w:rPr>
          <w:iCs/>
          <w:noProof/>
        </w:rPr>
      </w:pPr>
    </w:p>
    <w:p w14:paraId="72862A9E" w14:textId="4013AA56" w:rsidR="000F343F" w:rsidRPr="002E68DF" w:rsidRDefault="002E68DF" w:rsidP="002B7910">
      <w:pPr>
        <w:pStyle w:val="TAL"/>
        <w:keepNext w:val="0"/>
        <w:keepLines w:val="0"/>
        <w:widowControl w:val="0"/>
        <w:rPr>
          <w:rFonts w:cs="Arial"/>
          <w:b/>
          <w:i/>
          <w:snapToGrid w:val="0"/>
          <w:sz w:val="20"/>
        </w:rPr>
      </w:pPr>
      <w:r>
        <w:rPr>
          <w:rFonts w:cs="Arial"/>
          <w:b/>
          <w:i/>
          <w:snapToGrid w:val="0"/>
          <w:sz w:val="20"/>
        </w:rPr>
        <w:t>“</w:t>
      </w:r>
      <w:r w:rsidR="000F343F" w:rsidRPr="002E68DF">
        <w:rPr>
          <w:rFonts w:cs="Arial"/>
          <w:bCs/>
          <w:i/>
          <w:iCs/>
          <w:noProof/>
          <w:sz w:val="20"/>
        </w:rPr>
        <w:t>This field specifies the PRS configuration of the neighbour cell.</w:t>
      </w:r>
    </w:p>
    <w:p w14:paraId="201DDB99" w14:textId="77777777" w:rsidR="000F343F" w:rsidRPr="002E68DF" w:rsidRDefault="000F343F" w:rsidP="002B7910">
      <w:pPr>
        <w:pStyle w:val="TAL"/>
        <w:keepNext w:val="0"/>
        <w:keepLines w:val="0"/>
        <w:widowControl w:val="0"/>
        <w:rPr>
          <w:rFonts w:cs="Arial"/>
          <w:i/>
          <w:noProof/>
          <w:sz w:val="20"/>
        </w:rPr>
      </w:pPr>
      <w:r w:rsidRPr="002E68DF">
        <w:rPr>
          <w:rFonts w:cs="Arial"/>
          <w:bCs/>
          <w:i/>
          <w:iCs/>
          <w:noProof/>
          <w:sz w:val="20"/>
        </w:rPr>
        <w:t xml:space="preserve">When </w:t>
      </w:r>
      <w:r w:rsidRPr="002E68DF">
        <w:rPr>
          <w:rFonts w:cs="Arial"/>
          <w:i/>
          <w:sz w:val="20"/>
        </w:rPr>
        <w:t xml:space="preserve">the EARFCN of the neighbour cell is the same as for the assistance data reference cell, </w:t>
      </w:r>
      <w:r w:rsidRPr="002E68DF">
        <w:rPr>
          <w:rFonts w:cs="Arial"/>
          <w:bCs/>
          <w:i/>
          <w:iCs/>
          <w:noProof/>
          <w:sz w:val="20"/>
        </w:rPr>
        <w:t>t</w:t>
      </w:r>
      <w:r w:rsidRPr="002E68DF">
        <w:rPr>
          <w:rFonts w:cs="Arial"/>
          <w:i/>
          <w:noProof/>
          <w:sz w:val="20"/>
        </w:rPr>
        <w:t xml:space="preserve">he target device may assume that each PRS positioning occasion in the neighbour cell at least partially overlaps with </w:t>
      </w:r>
      <w:r w:rsidRPr="002E68DF">
        <w:rPr>
          <w:rFonts w:cs="Arial"/>
          <w:i/>
          <w:noProof/>
          <w:sz w:val="20"/>
        </w:rPr>
        <w:lastRenderedPageBreak/>
        <w:t>a PRS positioning occasion in the assistance data reference cell where the maximum offset between the transmitted PRS positioning occasions may be assumed to not exceed half a subframe.</w:t>
      </w:r>
    </w:p>
    <w:p w14:paraId="7607B736" w14:textId="4C078871" w:rsidR="000F343F" w:rsidRPr="002E68DF" w:rsidRDefault="000F343F" w:rsidP="002B7910">
      <w:pPr>
        <w:jc w:val="left"/>
        <w:rPr>
          <w:rFonts w:cs="Arial"/>
          <w:i/>
          <w:noProof/>
        </w:rPr>
      </w:pPr>
      <w:r w:rsidRPr="002E68DF">
        <w:rPr>
          <w:rFonts w:cs="Arial"/>
          <w:i/>
          <w:noProof/>
        </w:rPr>
        <w:t>When the EARFCN of the neighbour cell is the same as for the assistance data reference cell, the target may assume that this cell has the same PRS periodicity (Tprs) as the assistance data reference cell.</w:t>
      </w:r>
      <w:r w:rsidR="002E68DF">
        <w:rPr>
          <w:rFonts w:cs="Arial"/>
          <w:i/>
          <w:noProof/>
        </w:rPr>
        <w:t>”</w:t>
      </w:r>
    </w:p>
    <w:p w14:paraId="67D4C624" w14:textId="4B5AA4DF" w:rsidR="002B7910" w:rsidRDefault="002B7910" w:rsidP="002B7910">
      <w:pPr>
        <w:jc w:val="left"/>
        <w:rPr>
          <w:noProof/>
          <w:lang w:val="en-US"/>
        </w:rPr>
      </w:pPr>
      <w:r>
        <w:rPr>
          <w:noProof/>
        </w:rPr>
        <w:t xml:space="preserve">With the above rule, UE can </w:t>
      </w:r>
      <w:r w:rsidRPr="002E68DF">
        <w:rPr>
          <w:snapToGrid w:val="0"/>
        </w:rPr>
        <w:t xml:space="preserve">determine the PRS </w:t>
      </w:r>
      <w:r w:rsidRPr="002E68DF">
        <w:rPr>
          <w:noProof/>
          <w:lang w:val="en-US"/>
        </w:rPr>
        <w:t>position of the neighbo</w:t>
      </w:r>
      <w:r>
        <w:rPr>
          <w:noProof/>
          <w:lang w:val="en-US"/>
        </w:rPr>
        <w:t>u</w:t>
      </w:r>
      <w:r w:rsidRPr="002E68DF">
        <w:rPr>
          <w:noProof/>
          <w:lang w:val="en-US"/>
        </w:rPr>
        <w:t>r cells</w:t>
      </w:r>
      <w:r>
        <w:rPr>
          <w:noProof/>
          <w:lang w:val="en-US"/>
        </w:rPr>
        <w:t xml:space="preserve"> on the same carrier frequency layer as the reference cell. This is illustrated in </w:t>
      </w:r>
      <w:r w:rsidR="00CB224D">
        <w:rPr>
          <w:noProof/>
          <w:lang w:val="en-US"/>
        </w:rPr>
        <w:fldChar w:fldCharType="begin"/>
      </w:r>
      <w:r w:rsidR="00CB224D">
        <w:rPr>
          <w:noProof/>
          <w:lang w:val="en-US"/>
        </w:rPr>
        <w:instrText xml:space="preserve"> REF _Ref471288413 \h </w:instrText>
      </w:r>
      <w:r w:rsidR="00CB224D">
        <w:rPr>
          <w:noProof/>
          <w:lang w:val="en-US"/>
        </w:rPr>
      </w:r>
      <w:r w:rsidR="00CB224D">
        <w:rPr>
          <w:noProof/>
          <w:lang w:val="en-US"/>
        </w:rPr>
        <w:fldChar w:fldCharType="separate"/>
      </w:r>
      <w:r w:rsidR="00F01A41">
        <w:t xml:space="preserve">Figure </w:t>
      </w:r>
      <w:r w:rsidR="00F01A41">
        <w:rPr>
          <w:noProof/>
        </w:rPr>
        <w:t>1</w:t>
      </w:r>
      <w:r w:rsidR="00CB224D">
        <w:rPr>
          <w:noProof/>
          <w:lang w:val="en-US"/>
        </w:rPr>
        <w:fldChar w:fldCharType="end"/>
      </w:r>
      <w:r w:rsidR="00CB224D">
        <w:rPr>
          <w:noProof/>
          <w:lang w:val="en-US"/>
        </w:rPr>
        <w:t>.</w:t>
      </w:r>
    </w:p>
    <w:p w14:paraId="718E1444" w14:textId="7CFB9BC4" w:rsidR="00193C45" w:rsidRDefault="00193C45" w:rsidP="00CB224D">
      <w:pPr>
        <w:jc w:val="center"/>
        <w:rPr>
          <w:noProof/>
          <w:lang w:val="en-US"/>
        </w:rPr>
      </w:pPr>
      <w:r>
        <w:rPr>
          <w:noProof/>
          <w:lang w:val="en-US"/>
        </w:rPr>
        <w:drawing>
          <wp:inline distT="0" distB="0" distL="0" distR="0" wp14:anchorId="5B939F58" wp14:editId="626110D7">
            <wp:extent cx="6115050" cy="1890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15050" cy="1890395"/>
                    </a:xfrm>
                    <a:prstGeom prst="rect">
                      <a:avLst/>
                    </a:prstGeom>
                  </pic:spPr>
                </pic:pic>
              </a:graphicData>
            </a:graphic>
          </wp:inline>
        </w:drawing>
      </w:r>
    </w:p>
    <w:p w14:paraId="5BC84760" w14:textId="640EA5FD" w:rsidR="002B7910" w:rsidRDefault="002B7910" w:rsidP="002B7910">
      <w:pPr>
        <w:pStyle w:val="Caption"/>
      </w:pPr>
      <w:bookmarkStart w:id="1" w:name="_Ref471288413"/>
      <w:r>
        <w:t xml:space="preserve">Figure </w:t>
      </w:r>
      <w:r>
        <w:fldChar w:fldCharType="begin"/>
      </w:r>
      <w:r>
        <w:instrText xml:space="preserve"> SEQ Figure \* ARABIC </w:instrText>
      </w:r>
      <w:r>
        <w:fldChar w:fldCharType="separate"/>
      </w:r>
      <w:r w:rsidR="00F01A41">
        <w:rPr>
          <w:noProof/>
        </w:rPr>
        <w:t>1</w:t>
      </w:r>
      <w:r>
        <w:fldChar w:fldCharType="end"/>
      </w:r>
      <w:bookmarkEnd w:id="1"/>
      <w:r>
        <w:t>: Neighbour cell PRS position determination in intra-frequency scenario</w:t>
      </w:r>
      <w:r w:rsidR="00193C45">
        <w:t xml:space="preserve">: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PRS</m:t>
            </m:r>
          </m:sub>
        </m:sSub>
      </m:oMath>
      <w:r w:rsidR="00193C45">
        <w:t xml:space="preserve"> </w:t>
      </w:r>
      <w:r w:rsidR="00D36CCB">
        <w:t xml:space="preserve">1 and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PRS</m:t>
            </m:r>
          </m:sub>
        </m:sSub>
      </m:oMath>
      <w:r w:rsidR="00D36CCB">
        <w:t xml:space="preserve"> 2 </w:t>
      </w:r>
      <w:r w:rsidR="00193C45">
        <w:t>denot</w:t>
      </w:r>
      <w:r w:rsidR="00D36CCB">
        <w:t>e</w:t>
      </w:r>
      <w:r w:rsidR="00193C45">
        <w:t xml:space="preserve"> the PRS subframe offset</w:t>
      </w:r>
      <w:r w:rsidR="00D36CCB">
        <w:t xml:space="preserve"> of the reference cell and of the neighbour cell, respectively.</w:t>
      </w:r>
    </w:p>
    <w:p w14:paraId="0090786F" w14:textId="40E6ED6A" w:rsidR="00CB224D" w:rsidRDefault="00CB224D" w:rsidP="00CB224D">
      <w:pPr>
        <w:jc w:val="left"/>
        <w:rPr>
          <w:noProof/>
        </w:rPr>
      </w:pPr>
      <w:r>
        <w:rPr>
          <w:noProof/>
          <w:lang w:val="en-US"/>
        </w:rPr>
        <w:t xml:space="preserve">If the reference cell and a neighbor cell are on different frequency layers, an additional field </w:t>
      </w:r>
      <w:r w:rsidRPr="004B4CA0">
        <w:rPr>
          <w:b/>
          <w:i/>
          <w:snapToGrid w:val="0"/>
        </w:rPr>
        <w:t>prs-SubframeOffset</w:t>
      </w:r>
      <w:r w:rsidR="0028165C">
        <w:rPr>
          <w:b/>
          <w:i/>
          <w:snapToGrid w:val="0"/>
        </w:rPr>
        <w:t xml:space="preserve">, </w:t>
      </w:r>
      <w:r w:rsidR="0028165C" w:rsidRPr="0028165C">
        <w:rPr>
          <w:snapToGrid w:val="0"/>
        </w:rPr>
        <w:t>INTEGER (0..1279),</w:t>
      </w:r>
      <w:r>
        <w:rPr>
          <w:b/>
          <w:i/>
          <w:snapToGrid w:val="0"/>
        </w:rPr>
        <w:t xml:space="preserve"> </w:t>
      </w:r>
      <w:r>
        <w:rPr>
          <w:snapToGrid w:val="0"/>
        </w:rPr>
        <w:t xml:space="preserve">that </w:t>
      </w:r>
      <w:r w:rsidRPr="004B4CA0">
        <w:rPr>
          <w:snapToGrid w:val="0"/>
        </w:rPr>
        <w:t xml:space="preserve">specifies the offset between the first PRS subframe in reference cell and the first PRS subframe in the closest subsequent </w:t>
      </w:r>
      <w:r w:rsidR="00FD1F34">
        <w:rPr>
          <w:snapToGrid w:val="0"/>
        </w:rPr>
        <w:t>PRS positioning occasion of the neighbour cell</w:t>
      </w:r>
      <w:r w:rsidR="00C5545A">
        <w:rPr>
          <w:snapToGrid w:val="0"/>
        </w:rPr>
        <w:t>, may be provided.</w:t>
      </w:r>
      <w:r w:rsidR="00FD1F34">
        <w:rPr>
          <w:snapToGrid w:val="0"/>
        </w:rPr>
        <w:t xml:space="preserve"> This is illustrated in </w:t>
      </w:r>
      <w:r w:rsidR="00FD1F34">
        <w:rPr>
          <w:snapToGrid w:val="0"/>
        </w:rPr>
        <w:fldChar w:fldCharType="begin"/>
      </w:r>
      <w:r w:rsidR="00FD1F34">
        <w:rPr>
          <w:snapToGrid w:val="0"/>
        </w:rPr>
        <w:instrText xml:space="preserve"> REF _Ref471288695 \h </w:instrText>
      </w:r>
      <w:r w:rsidR="00FD1F34">
        <w:rPr>
          <w:snapToGrid w:val="0"/>
        </w:rPr>
      </w:r>
      <w:r w:rsidR="00FD1F34">
        <w:rPr>
          <w:snapToGrid w:val="0"/>
        </w:rPr>
        <w:fldChar w:fldCharType="separate"/>
      </w:r>
      <w:r w:rsidR="00F01A41">
        <w:t xml:space="preserve">Figure </w:t>
      </w:r>
      <w:r w:rsidR="00F01A41">
        <w:rPr>
          <w:noProof/>
        </w:rPr>
        <w:t>2</w:t>
      </w:r>
      <w:r w:rsidR="00FD1F34">
        <w:rPr>
          <w:snapToGrid w:val="0"/>
        </w:rPr>
        <w:fldChar w:fldCharType="end"/>
      </w:r>
      <w:r w:rsidR="00FD1F34">
        <w:rPr>
          <w:snapToGrid w:val="0"/>
        </w:rPr>
        <w:t>.</w:t>
      </w:r>
      <w:r w:rsidR="004361CE">
        <w:rPr>
          <w:snapToGrid w:val="0"/>
        </w:rPr>
        <w:t xml:space="preserve"> </w:t>
      </w:r>
      <w:r w:rsidR="004361CE" w:rsidRPr="004361CE">
        <w:rPr>
          <w:snapToGrid w:val="0"/>
        </w:rPr>
        <w:t>If the field is not prese</w:t>
      </w:r>
      <w:r w:rsidR="004361CE">
        <w:rPr>
          <w:snapToGrid w:val="0"/>
        </w:rPr>
        <w:t>nt but PRS are available on the neighbour</w:t>
      </w:r>
      <w:r w:rsidR="004361CE" w:rsidRPr="004361CE">
        <w:rPr>
          <w:snapToGrid w:val="0"/>
        </w:rPr>
        <w:t xml:space="preserve"> cell, the </w:t>
      </w:r>
      <w:r w:rsidR="004361CE">
        <w:rPr>
          <w:snapToGrid w:val="0"/>
        </w:rPr>
        <w:t xml:space="preserve">UE </w:t>
      </w:r>
      <w:r w:rsidR="004361CE" w:rsidRPr="004361CE">
        <w:rPr>
          <w:snapToGrid w:val="0"/>
        </w:rPr>
        <w:t>shall consider the PRS subframe offset for this</w:t>
      </w:r>
      <w:r w:rsidR="004361CE">
        <w:rPr>
          <w:snapToGrid w:val="0"/>
        </w:rPr>
        <w:t xml:space="preserve"> neighbour</w:t>
      </w:r>
      <w:r w:rsidR="004361CE" w:rsidRPr="004361CE">
        <w:rPr>
          <w:snapToGrid w:val="0"/>
        </w:rPr>
        <w:t xml:space="preserve"> cell to be 0.</w:t>
      </w:r>
    </w:p>
    <w:p w14:paraId="1004E65E" w14:textId="4A33E491" w:rsidR="002B7910" w:rsidRDefault="00D36CCB" w:rsidP="00CB224D">
      <w:pPr>
        <w:pStyle w:val="Caption"/>
      </w:pPr>
      <w:r>
        <w:rPr>
          <w:noProof/>
          <w:lang w:val="en-US"/>
        </w:rPr>
        <w:drawing>
          <wp:inline distT="0" distB="0" distL="0" distR="0" wp14:anchorId="43D46B36" wp14:editId="17E907C0">
            <wp:extent cx="6115050" cy="1937385"/>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050" cy="1937385"/>
                    </a:xfrm>
                    <a:prstGeom prst="rect">
                      <a:avLst/>
                    </a:prstGeom>
                  </pic:spPr>
                </pic:pic>
              </a:graphicData>
            </a:graphic>
          </wp:inline>
        </w:drawing>
      </w:r>
    </w:p>
    <w:p w14:paraId="0D9CDCD2" w14:textId="7D633BAF" w:rsidR="001C7D7F" w:rsidRDefault="002B7910" w:rsidP="00FD1F34">
      <w:pPr>
        <w:pStyle w:val="Caption"/>
      </w:pPr>
      <w:bookmarkStart w:id="2" w:name="_Ref471288695"/>
      <w:r>
        <w:t xml:space="preserve">Figure </w:t>
      </w:r>
      <w:r>
        <w:fldChar w:fldCharType="begin"/>
      </w:r>
      <w:r>
        <w:instrText xml:space="preserve"> SEQ Figure \* ARABIC </w:instrText>
      </w:r>
      <w:r>
        <w:fldChar w:fldCharType="separate"/>
      </w:r>
      <w:r w:rsidR="00F01A41">
        <w:rPr>
          <w:noProof/>
        </w:rPr>
        <w:t>2</w:t>
      </w:r>
      <w:r>
        <w:fldChar w:fldCharType="end"/>
      </w:r>
      <w:bookmarkEnd w:id="2"/>
      <w:r>
        <w:t>: Neighbour cell PRS position determinat</w:t>
      </w:r>
      <w:r w:rsidR="00FD1F34">
        <w:t>ion in intra-frequency scenario</w:t>
      </w:r>
      <w:r w:rsidR="00D36CCB">
        <w:t xml:space="preserve">: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PRS</m:t>
            </m:r>
          </m:sub>
        </m:sSub>
      </m:oMath>
      <w:r w:rsidR="00D36CCB">
        <w:t xml:space="preserve"> 1 and </w:t>
      </w: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sty m:val="bi"/>
              </m:rPr>
              <w:rPr>
                <w:rFonts w:ascii="Cambria Math" w:hAnsi="Cambria Math"/>
              </w:rPr>
              <m:t>PRS</m:t>
            </m:r>
          </m:sub>
        </m:sSub>
      </m:oMath>
      <w:r w:rsidR="00D36CCB">
        <w:t xml:space="preserve"> 2 denote the PRS subframe offset of the reference cell and of the neighbour cell, respectively.</w:t>
      </w:r>
    </w:p>
    <w:p w14:paraId="206C961D" w14:textId="796C952E" w:rsidR="00526CB4" w:rsidRDefault="00FD1F34" w:rsidP="00806056">
      <w:pPr>
        <w:rPr>
          <w:noProof/>
          <w:lang w:val="en-US"/>
        </w:rPr>
      </w:pPr>
      <w:r>
        <w:t xml:space="preserve">From the above description, it is clear that </w:t>
      </w:r>
      <w:r w:rsidRPr="002E68DF">
        <w:rPr>
          <w:noProof/>
          <w:lang w:val="en-US"/>
        </w:rPr>
        <w:t>the PRS position</w:t>
      </w:r>
      <w:r w:rsidR="006B3772">
        <w:rPr>
          <w:noProof/>
          <w:lang w:val="en-US"/>
        </w:rPr>
        <w:t>s</w:t>
      </w:r>
      <w:r w:rsidRPr="002E68DF">
        <w:rPr>
          <w:noProof/>
          <w:lang w:val="en-US"/>
        </w:rPr>
        <w:t xml:space="preserve"> </w:t>
      </w:r>
      <w:r>
        <w:rPr>
          <w:noProof/>
          <w:lang w:val="en-US"/>
        </w:rPr>
        <w:t>of the neighbour</w:t>
      </w:r>
      <w:r w:rsidRPr="002E68DF">
        <w:rPr>
          <w:noProof/>
          <w:lang w:val="en-US"/>
        </w:rPr>
        <w:t xml:space="preserve"> cell</w:t>
      </w:r>
      <w:r>
        <w:rPr>
          <w:noProof/>
          <w:lang w:val="en-US"/>
        </w:rPr>
        <w:t>s can be derived without the kn</w:t>
      </w:r>
      <w:r w:rsidR="00E87427">
        <w:rPr>
          <w:noProof/>
          <w:lang w:val="en-US"/>
        </w:rPr>
        <w:t>owledge of neighbour cells’ SFN</w:t>
      </w:r>
      <w:r>
        <w:rPr>
          <w:noProof/>
          <w:lang w:val="en-US"/>
        </w:rPr>
        <w:t xml:space="preserve">s. In particular, arbitray </w:t>
      </w:r>
      <w:r w:rsidR="00806056">
        <w:rPr>
          <w:noProof/>
          <w:lang w:val="en-US"/>
        </w:rPr>
        <w:t xml:space="preserve">SFN and/or slot </w:t>
      </w:r>
      <w:r>
        <w:rPr>
          <w:noProof/>
          <w:lang w:val="en-US"/>
        </w:rPr>
        <w:t xml:space="preserve">offsets </w:t>
      </w:r>
      <w:r w:rsidR="00806056">
        <w:rPr>
          <w:noProof/>
          <w:lang w:val="en-US"/>
        </w:rPr>
        <w:t xml:space="preserve">are possible across different cells. This </w:t>
      </w:r>
      <w:r>
        <w:rPr>
          <w:noProof/>
          <w:lang w:val="en-US"/>
        </w:rPr>
        <w:t xml:space="preserve">is important for cell planning </w:t>
      </w:r>
      <w:r w:rsidR="00806056">
        <w:rPr>
          <w:noProof/>
          <w:lang w:val="en-US"/>
        </w:rPr>
        <w:t>and network optimization; for example, neighbouring cells may have SFN and/or slot offsets to avoid persistent interference of PSS, SSS, PBCH, etc.</w:t>
      </w:r>
    </w:p>
    <w:p w14:paraId="40F36D8D" w14:textId="4C0BDED0" w:rsidR="00526CB4" w:rsidRPr="00526CB4" w:rsidRDefault="00526CB4" w:rsidP="00806056">
      <w:pPr>
        <w:rPr>
          <w:b/>
          <w:noProof/>
          <w:lang w:val="en-US"/>
        </w:rPr>
      </w:pPr>
      <w:r w:rsidRPr="00526CB4">
        <w:rPr>
          <w:b/>
          <w:noProof/>
          <w:lang w:val="en-US"/>
        </w:rPr>
        <w:t xml:space="preserve">Observation 1: In the existing LPP </w:t>
      </w:r>
      <w:r w:rsidR="00DA6578">
        <w:rPr>
          <w:b/>
          <w:noProof/>
          <w:lang w:val="en-US"/>
        </w:rPr>
        <w:t xml:space="preserve">for LTE OTDOA, the PRS positions </w:t>
      </w:r>
      <w:r w:rsidRPr="00526CB4">
        <w:rPr>
          <w:b/>
          <w:noProof/>
          <w:lang w:val="en-US"/>
        </w:rPr>
        <w:t>of the neighbour cells can be derived without the kn</w:t>
      </w:r>
      <w:r w:rsidR="00E87427">
        <w:rPr>
          <w:b/>
          <w:noProof/>
          <w:lang w:val="en-US"/>
        </w:rPr>
        <w:t>owledge of neighbour cells’ SFN</w:t>
      </w:r>
      <w:r w:rsidRPr="00526CB4">
        <w:rPr>
          <w:b/>
          <w:noProof/>
          <w:lang w:val="en-US"/>
        </w:rPr>
        <w:t>s</w:t>
      </w:r>
      <w:r w:rsidR="000121EB">
        <w:rPr>
          <w:b/>
          <w:noProof/>
          <w:lang w:val="en-US"/>
        </w:rPr>
        <w:t>.</w:t>
      </w:r>
    </w:p>
    <w:p w14:paraId="65CC5168" w14:textId="00DFFBB2" w:rsidR="00526CB4" w:rsidRPr="00526CB4" w:rsidRDefault="00526CB4" w:rsidP="00806056">
      <w:pPr>
        <w:rPr>
          <w:b/>
          <w:noProof/>
          <w:lang w:val="en-US"/>
        </w:rPr>
      </w:pPr>
      <w:r w:rsidRPr="00526CB4">
        <w:rPr>
          <w:b/>
          <w:noProof/>
          <w:lang w:val="en-US"/>
        </w:rPr>
        <w:t>Observation 2: The existing LPP</w:t>
      </w:r>
      <w:r>
        <w:rPr>
          <w:b/>
          <w:noProof/>
          <w:lang w:val="en-US"/>
        </w:rPr>
        <w:t xml:space="preserve"> for LTE OTDOA</w:t>
      </w:r>
      <w:r w:rsidRPr="00526CB4">
        <w:rPr>
          <w:b/>
          <w:noProof/>
          <w:lang w:val="en-US"/>
        </w:rPr>
        <w:t xml:space="preserve"> does not limit the </w:t>
      </w:r>
      <w:r>
        <w:rPr>
          <w:b/>
          <w:noProof/>
          <w:lang w:val="en-US"/>
        </w:rPr>
        <w:t>potential</w:t>
      </w:r>
      <w:r w:rsidRPr="00526CB4">
        <w:rPr>
          <w:b/>
          <w:noProof/>
          <w:lang w:val="en-US"/>
        </w:rPr>
        <w:t xml:space="preserve"> of SFN and/or slot planning for LTE cells.</w:t>
      </w:r>
    </w:p>
    <w:p w14:paraId="0A0D9B6B" w14:textId="1F5C10E4" w:rsidR="001C7D7F" w:rsidRDefault="004F7BB6" w:rsidP="001C7D7F">
      <w:pPr>
        <w:pStyle w:val="Heading2"/>
        <w:rPr>
          <w:lang w:val="en-US"/>
        </w:rPr>
      </w:pPr>
      <w:r>
        <w:rPr>
          <w:lang w:val="en-US"/>
        </w:rPr>
        <w:t>NPRS</w:t>
      </w:r>
      <w:r w:rsidR="00372A73">
        <w:rPr>
          <w:lang w:val="en-US"/>
        </w:rPr>
        <w:t xml:space="preserve"> indicated</w:t>
      </w:r>
      <w:r w:rsidR="00775FC8">
        <w:rPr>
          <w:lang w:val="en-US"/>
        </w:rPr>
        <w:t xml:space="preserve"> with Part A</w:t>
      </w:r>
    </w:p>
    <w:p w14:paraId="18A4F900" w14:textId="1F3A2049" w:rsidR="00775FC8" w:rsidRDefault="0028165C" w:rsidP="00775FC8">
      <w:pPr>
        <w:rPr>
          <w:noProof/>
          <w:lang w:val="en-US"/>
        </w:rPr>
      </w:pPr>
      <w:r>
        <w:rPr>
          <w:lang w:val="en-US"/>
        </w:rPr>
        <w:t>For NPRS position indicated with Part A, a</w:t>
      </w:r>
      <w:r w:rsidRPr="0028165C">
        <w:rPr>
          <w:lang w:val="en-US"/>
        </w:rPr>
        <w:t xml:space="preserve"> bitmap </w:t>
      </w:r>
      <w:r>
        <w:rPr>
          <w:lang w:val="en-US"/>
        </w:rPr>
        <w:t xml:space="preserve">of the same length </w:t>
      </w:r>
      <w:r w:rsidRPr="0028165C">
        <w:rPr>
          <w:lang w:val="en-US"/>
        </w:rPr>
        <w:t>as valid subframe configuration, i.e. 10 bits or 40 bits</w:t>
      </w:r>
      <w:r>
        <w:rPr>
          <w:lang w:val="en-US"/>
        </w:rPr>
        <w:t>, is used to indicate the subframes used for NPRS in one NPRS occasion.</w:t>
      </w:r>
      <w:r w:rsidR="00372A73">
        <w:rPr>
          <w:lang w:val="en-US"/>
        </w:rPr>
        <w:t xml:space="preserve"> </w:t>
      </w:r>
      <w:r w:rsidR="003353E0">
        <w:rPr>
          <w:lang w:val="en-US"/>
        </w:rPr>
        <w:t xml:space="preserve">However, it is yet to decide on how to </w:t>
      </w:r>
      <w:r w:rsidR="003353E0" w:rsidRPr="003353E0">
        <w:rPr>
          <w:lang w:val="en-US"/>
        </w:rPr>
        <w:t xml:space="preserve">determine the NPRS occasion </w:t>
      </w:r>
      <w:r w:rsidR="003353E0">
        <w:rPr>
          <w:lang w:val="en-US"/>
        </w:rPr>
        <w:t xml:space="preserve">positions of the </w:t>
      </w:r>
      <w:r w:rsidR="003353E0" w:rsidRPr="002E68DF">
        <w:rPr>
          <w:noProof/>
          <w:lang w:val="en-US"/>
        </w:rPr>
        <w:t>neighbo</w:t>
      </w:r>
      <w:r w:rsidR="003353E0">
        <w:rPr>
          <w:noProof/>
          <w:lang w:val="en-US"/>
        </w:rPr>
        <w:t>u</w:t>
      </w:r>
      <w:r w:rsidR="003353E0" w:rsidRPr="002E68DF">
        <w:rPr>
          <w:noProof/>
          <w:lang w:val="en-US"/>
        </w:rPr>
        <w:t>r cells</w:t>
      </w:r>
      <w:r w:rsidR="003353E0">
        <w:rPr>
          <w:noProof/>
          <w:lang w:val="en-US"/>
        </w:rPr>
        <w:t xml:space="preserve">. </w:t>
      </w:r>
    </w:p>
    <w:p w14:paraId="4203D4F4" w14:textId="22FBAE89" w:rsidR="006D4E56" w:rsidRDefault="003353E0" w:rsidP="00775FC8">
      <w:pPr>
        <w:rPr>
          <w:noProof/>
          <w:lang w:val="en-US"/>
        </w:rPr>
      </w:pPr>
      <w:r>
        <w:rPr>
          <w:noProof/>
          <w:lang w:val="en-US"/>
        </w:rPr>
        <w:lastRenderedPageBreak/>
        <w:t>If the reference cell and a neighbor cell are on the same carrier fr</w:t>
      </w:r>
      <w:r w:rsidR="00581AA6">
        <w:rPr>
          <w:noProof/>
          <w:lang w:val="en-US"/>
        </w:rPr>
        <w:t>equency layer, a similar rule as</w:t>
      </w:r>
      <w:r>
        <w:rPr>
          <w:noProof/>
          <w:lang w:val="en-US"/>
        </w:rPr>
        <w:t xml:space="preserve"> the existing LTE </w:t>
      </w:r>
      <w:r w:rsidR="00E87F60">
        <w:rPr>
          <w:noProof/>
          <w:lang w:val="en-US"/>
        </w:rPr>
        <w:t>LPP might</w:t>
      </w:r>
      <w:r>
        <w:rPr>
          <w:noProof/>
          <w:lang w:val="en-US"/>
        </w:rPr>
        <w:t xml:space="preserve"> be used, i.e., </w:t>
      </w:r>
      <w:r w:rsidRPr="003353E0">
        <w:rPr>
          <w:noProof/>
          <w:lang w:val="en-US"/>
        </w:rPr>
        <w:t xml:space="preserve">each </w:t>
      </w:r>
      <w:r w:rsidR="00581AA6">
        <w:rPr>
          <w:noProof/>
          <w:lang w:val="en-US"/>
        </w:rPr>
        <w:t>N</w:t>
      </w:r>
      <w:r w:rsidRPr="003353E0">
        <w:rPr>
          <w:noProof/>
          <w:lang w:val="en-US"/>
        </w:rPr>
        <w:t xml:space="preserve">PRS positioning occasion in the neighbour cell at least partially overlaps with a </w:t>
      </w:r>
      <w:r w:rsidR="00581AA6">
        <w:rPr>
          <w:noProof/>
          <w:lang w:val="en-US"/>
        </w:rPr>
        <w:t>N</w:t>
      </w:r>
      <w:r w:rsidRPr="003353E0">
        <w:rPr>
          <w:noProof/>
          <w:lang w:val="en-US"/>
        </w:rPr>
        <w:t>PRS positioning occasion in the reference cell where the maximum offset may be assumed to not exceed half a subframe.</w:t>
      </w:r>
      <w:r w:rsidR="006D4E56">
        <w:rPr>
          <w:noProof/>
          <w:lang w:val="en-US"/>
        </w:rPr>
        <w:t xml:space="preserve"> The disavantage of this approach is that </w:t>
      </w:r>
      <w:r w:rsidR="00D002F6">
        <w:rPr>
          <w:noProof/>
          <w:lang w:val="en-US"/>
        </w:rPr>
        <w:t xml:space="preserve">the frame structrues of the cells need to be synchronized, as illustrated in </w:t>
      </w:r>
      <w:r w:rsidR="00D002F6">
        <w:rPr>
          <w:noProof/>
          <w:lang w:val="en-US"/>
        </w:rPr>
        <w:fldChar w:fldCharType="begin"/>
      </w:r>
      <w:r w:rsidR="00D002F6">
        <w:rPr>
          <w:noProof/>
          <w:lang w:val="en-US"/>
        </w:rPr>
        <w:instrText xml:space="preserve"> REF _Ref471295055 \h </w:instrText>
      </w:r>
      <w:r w:rsidR="00D002F6">
        <w:rPr>
          <w:noProof/>
          <w:lang w:val="en-US"/>
        </w:rPr>
      </w:r>
      <w:r w:rsidR="00D002F6">
        <w:rPr>
          <w:noProof/>
          <w:lang w:val="en-US"/>
        </w:rPr>
        <w:fldChar w:fldCharType="separate"/>
      </w:r>
      <w:r w:rsidR="00F01A41">
        <w:t xml:space="preserve">Figure </w:t>
      </w:r>
      <w:r w:rsidR="00F01A41">
        <w:rPr>
          <w:noProof/>
        </w:rPr>
        <w:t>3</w:t>
      </w:r>
      <w:r w:rsidR="00D002F6">
        <w:rPr>
          <w:noProof/>
          <w:lang w:val="en-US"/>
        </w:rPr>
        <w:fldChar w:fldCharType="end"/>
      </w:r>
      <w:r w:rsidR="00D002F6">
        <w:rPr>
          <w:noProof/>
          <w:lang w:val="en-US"/>
        </w:rPr>
        <w:t>.</w:t>
      </w:r>
      <w:r w:rsidR="00581AA6">
        <w:rPr>
          <w:noProof/>
          <w:lang w:val="en-US"/>
        </w:rPr>
        <w:t xml:space="preserve"> This imposes a significant </w:t>
      </w:r>
      <w:r w:rsidR="00581AA6" w:rsidRPr="00581AA6">
        <w:rPr>
          <w:noProof/>
          <w:lang w:val="en-US"/>
        </w:rPr>
        <w:t xml:space="preserve">limit </w:t>
      </w:r>
      <w:r w:rsidR="00581AA6">
        <w:rPr>
          <w:noProof/>
          <w:lang w:val="en-US"/>
        </w:rPr>
        <w:t>on the</w:t>
      </w:r>
      <w:r w:rsidR="00581AA6" w:rsidRPr="00581AA6">
        <w:rPr>
          <w:noProof/>
          <w:lang w:val="en-US"/>
        </w:rPr>
        <w:t xml:space="preserve"> </w:t>
      </w:r>
      <w:r w:rsidR="00581AA6">
        <w:rPr>
          <w:noProof/>
          <w:lang w:val="en-US"/>
        </w:rPr>
        <w:t>SFN and/or slot planning for NB-IoT</w:t>
      </w:r>
      <w:r w:rsidR="00581AA6" w:rsidRPr="00581AA6">
        <w:rPr>
          <w:noProof/>
          <w:lang w:val="en-US"/>
        </w:rPr>
        <w:t xml:space="preserve"> cells.</w:t>
      </w:r>
    </w:p>
    <w:p w14:paraId="60D261B9" w14:textId="6E7E8DBD" w:rsidR="006D4E56" w:rsidRDefault="006D4E56" w:rsidP="006D4E56">
      <w:pPr>
        <w:jc w:val="center"/>
        <w:rPr>
          <w:noProof/>
          <w:lang w:val="en-US"/>
        </w:rPr>
      </w:pPr>
      <w:r>
        <w:rPr>
          <w:noProof/>
          <w:lang w:val="en-US"/>
        </w:rPr>
        <w:drawing>
          <wp:inline distT="0" distB="0" distL="0" distR="0" wp14:anchorId="08108E1D" wp14:editId="4AAD79B3">
            <wp:extent cx="5141283" cy="1966822"/>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0955" cy="1978173"/>
                    </a:xfrm>
                    <a:prstGeom prst="rect">
                      <a:avLst/>
                    </a:prstGeom>
                  </pic:spPr>
                </pic:pic>
              </a:graphicData>
            </a:graphic>
          </wp:inline>
        </w:drawing>
      </w:r>
    </w:p>
    <w:p w14:paraId="1300CCD0" w14:textId="77777777" w:rsidR="006D4E56" w:rsidRDefault="006D4E56" w:rsidP="00775FC8">
      <w:pPr>
        <w:rPr>
          <w:noProof/>
          <w:lang w:val="en-US"/>
        </w:rPr>
      </w:pPr>
    </w:p>
    <w:p w14:paraId="23B39A6F" w14:textId="5372E981" w:rsidR="00372A73" w:rsidRDefault="006D4E56" w:rsidP="006D4E56">
      <w:pPr>
        <w:pStyle w:val="Caption"/>
        <w:rPr>
          <w:noProof/>
          <w:lang w:val="en-US"/>
        </w:rPr>
      </w:pPr>
      <w:bookmarkStart w:id="3" w:name="_Ref471295055"/>
      <w:r>
        <w:t xml:space="preserve">Figure </w:t>
      </w:r>
      <w:r>
        <w:fldChar w:fldCharType="begin"/>
      </w:r>
      <w:r>
        <w:instrText xml:space="preserve"> SEQ Figure \* ARABIC </w:instrText>
      </w:r>
      <w:r>
        <w:fldChar w:fldCharType="separate"/>
      </w:r>
      <w:r w:rsidR="00F01A41">
        <w:rPr>
          <w:noProof/>
        </w:rPr>
        <w:t>3</w:t>
      </w:r>
      <w:r>
        <w:fldChar w:fldCharType="end"/>
      </w:r>
      <w:bookmarkEnd w:id="3"/>
      <w:r>
        <w:t xml:space="preserve">: </w:t>
      </w:r>
      <w:r w:rsidR="00D002F6" w:rsidRPr="00D002F6">
        <w:rPr>
          <w:noProof/>
          <w:lang w:val="en-US"/>
        </w:rPr>
        <w:t>NPRS indicated with Part A</w:t>
      </w:r>
      <w:r w:rsidR="00D002F6">
        <w:rPr>
          <w:noProof/>
          <w:lang w:val="en-US"/>
        </w:rPr>
        <w:t xml:space="preserve">: </w:t>
      </w:r>
      <w:r w:rsidR="00A03794">
        <w:rPr>
          <w:noProof/>
          <w:lang w:val="en-US"/>
        </w:rPr>
        <w:t>Assuming o</w:t>
      </w:r>
      <w:r w:rsidR="00D002F6">
        <w:rPr>
          <w:noProof/>
          <w:lang w:val="en-US"/>
        </w:rPr>
        <w:t>verlapping NPRS positioning occassions across cells</w:t>
      </w:r>
      <w:r w:rsidR="00A03794">
        <w:rPr>
          <w:noProof/>
          <w:lang w:val="en-US"/>
        </w:rPr>
        <w:t xml:space="preserve"> by default</w:t>
      </w:r>
      <w:r w:rsidR="00616E62">
        <w:rPr>
          <w:noProof/>
          <w:lang w:val="en-US"/>
        </w:rPr>
        <w:t xml:space="preserve"> limits the SFN and/or slot planning for NB-IoT</w:t>
      </w:r>
      <w:r w:rsidR="00616E62" w:rsidRPr="00581AA6">
        <w:rPr>
          <w:noProof/>
          <w:lang w:val="en-US"/>
        </w:rPr>
        <w:t xml:space="preserve"> cells</w:t>
      </w:r>
    </w:p>
    <w:p w14:paraId="3A93DC62" w14:textId="60694858" w:rsidR="00236DDC" w:rsidRDefault="00581AA6" w:rsidP="00775FC8">
      <w:pPr>
        <w:rPr>
          <w:snapToGrid w:val="0"/>
        </w:rPr>
      </w:pPr>
      <w:r>
        <w:rPr>
          <w:noProof/>
          <w:lang w:val="en-US"/>
        </w:rPr>
        <w:t>To avoid l</w:t>
      </w:r>
      <w:r w:rsidRPr="00581AA6">
        <w:rPr>
          <w:noProof/>
          <w:lang w:val="en-US"/>
        </w:rPr>
        <w:t>imit</w:t>
      </w:r>
      <w:r>
        <w:rPr>
          <w:noProof/>
          <w:lang w:val="en-US"/>
        </w:rPr>
        <w:t>ing</w:t>
      </w:r>
      <w:r w:rsidRPr="00581AA6">
        <w:rPr>
          <w:noProof/>
          <w:lang w:val="en-US"/>
        </w:rPr>
        <w:t xml:space="preserve"> the potential of </w:t>
      </w:r>
      <w:r>
        <w:rPr>
          <w:noProof/>
          <w:lang w:val="en-US"/>
        </w:rPr>
        <w:t xml:space="preserve">SFN and/or slot planning for NB-IoT cells, </w:t>
      </w:r>
      <w:r w:rsidR="00E964CE">
        <w:rPr>
          <w:noProof/>
          <w:lang w:val="en-US"/>
        </w:rPr>
        <w:t>one obvious method is to</w:t>
      </w:r>
      <w:r>
        <w:rPr>
          <w:noProof/>
          <w:lang w:val="en-US"/>
        </w:rPr>
        <w:t xml:space="preserve"> explicitly signal the </w:t>
      </w:r>
      <w:r w:rsidR="00236DDC">
        <w:rPr>
          <w:noProof/>
          <w:lang w:val="en-US"/>
        </w:rPr>
        <w:t xml:space="preserve">offset </w:t>
      </w:r>
      <w:r w:rsidR="00236DDC" w:rsidRPr="004B4CA0">
        <w:rPr>
          <w:snapToGrid w:val="0"/>
        </w:rPr>
        <w:t xml:space="preserve">between the first </w:t>
      </w:r>
      <w:r w:rsidR="00236DDC">
        <w:rPr>
          <w:snapToGrid w:val="0"/>
        </w:rPr>
        <w:t>N</w:t>
      </w:r>
      <w:r w:rsidR="00236DDC" w:rsidRPr="004B4CA0">
        <w:rPr>
          <w:snapToGrid w:val="0"/>
        </w:rPr>
        <w:t>PRS</w:t>
      </w:r>
      <w:r w:rsidR="00236DDC">
        <w:rPr>
          <w:snapToGrid w:val="0"/>
        </w:rPr>
        <w:t xml:space="preserve"> occasion</w:t>
      </w:r>
      <w:r w:rsidR="00236DDC" w:rsidRPr="004B4CA0">
        <w:rPr>
          <w:snapToGrid w:val="0"/>
        </w:rPr>
        <w:t xml:space="preserve"> </w:t>
      </w:r>
      <w:r w:rsidR="00236DDC">
        <w:rPr>
          <w:snapToGrid w:val="0"/>
        </w:rPr>
        <w:t>i</w:t>
      </w:r>
      <w:r w:rsidR="00236DDC" w:rsidRPr="004B4CA0">
        <w:rPr>
          <w:snapToGrid w:val="0"/>
        </w:rPr>
        <w:t xml:space="preserve">n reference cell and the closest subsequent </w:t>
      </w:r>
      <w:r w:rsidR="00236DDC">
        <w:rPr>
          <w:snapToGrid w:val="0"/>
        </w:rPr>
        <w:t xml:space="preserve">NPRS positioning occasion of the neighbour cell, as illustrated in </w:t>
      </w:r>
      <w:r w:rsidR="00B84BCA">
        <w:rPr>
          <w:snapToGrid w:val="0"/>
        </w:rPr>
        <w:fldChar w:fldCharType="begin"/>
      </w:r>
      <w:r w:rsidR="00B84BCA">
        <w:rPr>
          <w:snapToGrid w:val="0"/>
        </w:rPr>
        <w:instrText xml:space="preserve"> REF _Ref471299983 \h </w:instrText>
      </w:r>
      <w:r w:rsidR="00B84BCA">
        <w:rPr>
          <w:snapToGrid w:val="0"/>
        </w:rPr>
      </w:r>
      <w:r w:rsidR="00B84BCA">
        <w:rPr>
          <w:snapToGrid w:val="0"/>
        </w:rPr>
        <w:fldChar w:fldCharType="separate"/>
      </w:r>
      <w:r w:rsidR="00F01A41">
        <w:t xml:space="preserve">Figure </w:t>
      </w:r>
      <w:r w:rsidR="00F01A41">
        <w:rPr>
          <w:noProof/>
        </w:rPr>
        <w:t>4</w:t>
      </w:r>
      <w:r w:rsidR="00B84BCA">
        <w:rPr>
          <w:snapToGrid w:val="0"/>
        </w:rPr>
        <w:fldChar w:fldCharType="end"/>
      </w:r>
      <w:r w:rsidR="00B84BCA">
        <w:rPr>
          <w:snapToGrid w:val="0"/>
        </w:rPr>
        <w:t>.</w:t>
      </w:r>
    </w:p>
    <w:p w14:paraId="3991A93F" w14:textId="77777777" w:rsidR="00D324F8" w:rsidRDefault="00D324F8" w:rsidP="00D324F8">
      <w:pPr>
        <w:rPr>
          <w:snapToGrid w:val="0"/>
        </w:rPr>
      </w:pPr>
      <w:r>
        <w:rPr>
          <w:noProof/>
          <w:lang w:val="en-US"/>
        </w:rPr>
        <w:drawing>
          <wp:inline distT="0" distB="0" distL="0" distR="0" wp14:anchorId="12FEDFAA" wp14:editId="56D72717">
            <wp:extent cx="6115050" cy="20313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050" cy="2031365"/>
                    </a:xfrm>
                    <a:prstGeom prst="rect">
                      <a:avLst/>
                    </a:prstGeom>
                  </pic:spPr>
                </pic:pic>
              </a:graphicData>
            </a:graphic>
          </wp:inline>
        </w:drawing>
      </w:r>
    </w:p>
    <w:p w14:paraId="5754E8BD" w14:textId="284E6601" w:rsidR="00D324F8" w:rsidRPr="00D324F8" w:rsidRDefault="00D324F8" w:rsidP="00D324F8">
      <w:pPr>
        <w:pStyle w:val="Caption"/>
      </w:pPr>
      <w:bookmarkStart w:id="4" w:name="_Ref471299983"/>
      <w:r>
        <w:t xml:space="preserve">Figure </w:t>
      </w:r>
      <w:r>
        <w:fldChar w:fldCharType="begin"/>
      </w:r>
      <w:r>
        <w:instrText xml:space="preserve"> SEQ Figure \* ARABIC </w:instrText>
      </w:r>
      <w:r>
        <w:fldChar w:fldCharType="separate"/>
      </w:r>
      <w:r w:rsidR="00F01A41">
        <w:rPr>
          <w:noProof/>
        </w:rPr>
        <w:t>4</w:t>
      </w:r>
      <w:r>
        <w:fldChar w:fldCharType="end"/>
      </w:r>
      <w:bookmarkEnd w:id="4"/>
      <w:r>
        <w:t xml:space="preserve">: </w:t>
      </w:r>
      <w:r w:rsidRPr="00236DDC">
        <w:t xml:space="preserve">Neighbour cell </w:t>
      </w:r>
      <w:r>
        <w:t xml:space="preserve">NPRS position determination with </w:t>
      </w:r>
      <w:r w:rsidRPr="006661E5">
        <w:rPr>
          <w:i/>
        </w:rPr>
        <w:t>nprs-OccasionOffset</w:t>
      </w:r>
    </w:p>
    <w:p w14:paraId="294D8394" w14:textId="00C65AFF" w:rsidR="00C26B6B" w:rsidRPr="00D324F8" w:rsidRDefault="00D324F8" w:rsidP="00775FC8">
      <w:pPr>
        <w:rPr>
          <w:snapToGrid w:val="0"/>
        </w:rPr>
      </w:pPr>
      <w:r w:rsidRPr="00D324F8">
        <w:rPr>
          <w:noProof/>
          <w:lang w:val="en-US"/>
        </w:rPr>
        <w:t>If the reference cell</w:t>
      </w:r>
      <w:r w:rsidR="00DB3DB9">
        <w:rPr>
          <w:noProof/>
          <w:lang w:val="en-US"/>
        </w:rPr>
        <w:t xml:space="preserve"> and a neighbor cell are on </w:t>
      </w:r>
      <w:r w:rsidRPr="00D324F8">
        <w:rPr>
          <w:noProof/>
          <w:lang w:val="en-US"/>
        </w:rPr>
        <w:t xml:space="preserve">different carrier frequency layers, </w:t>
      </w:r>
      <w:r w:rsidRPr="00D324F8">
        <w:rPr>
          <w:lang w:val="en-US"/>
        </w:rPr>
        <w:t>to</w:t>
      </w:r>
      <w:r w:rsidRPr="00D324F8">
        <w:rPr>
          <w:noProof/>
          <w:lang w:val="en-US"/>
        </w:rPr>
        <w:t xml:space="preserve"> </w:t>
      </w:r>
      <w:r w:rsidRPr="00D324F8">
        <w:rPr>
          <w:snapToGrid w:val="0"/>
        </w:rPr>
        <w:t xml:space="preserve">determine the NPRS occasion </w:t>
      </w:r>
      <w:r w:rsidRPr="00D324F8">
        <w:rPr>
          <w:noProof/>
          <w:lang w:val="en-US"/>
        </w:rPr>
        <w:t xml:space="preserve">positions of the neighbour cells, it is also necessary to signal the offset </w:t>
      </w:r>
      <w:r w:rsidRPr="00D324F8">
        <w:rPr>
          <w:snapToGrid w:val="0"/>
        </w:rPr>
        <w:t>between the NPRS occasion in reference cell and the closest subsequent NPRS positioning occasion of the neighbour cell.</w:t>
      </w:r>
    </w:p>
    <w:p w14:paraId="6585894E" w14:textId="7E8AE153" w:rsidR="00757CC8" w:rsidRDefault="00372A73" w:rsidP="00775FC8">
      <w:pPr>
        <w:rPr>
          <w:b/>
          <w:snapToGrid w:val="0"/>
        </w:rPr>
      </w:pPr>
      <w:r w:rsidRPr="00D324F8">
        <w:rPr>
          <w:b/>
          <w:lang w:val="en-US"/>
        </w:rPr>
        <w:t xml:space="preserve">Proposal 1: When NPRS is indicated </w:t>
      </w:r>
      <w:r w:rsidR="004F06D1">
        <w:rPr>
          <w:b/>
          <w:lang w:val="en-US"/>
        </w:rPr>
        <w:t xml:space="preserve">only </w:t>
      </w:r>
      <w:r w:rsidRPr="00D324F8">
        <w:rPr>
          <w:b/>
          <w:lang w:val="en-US"/>
        </w:rPr>
        <w:t>with Part A, to</w:t>
      </w:r>
      <w:r w:rsidRPr="00D324F8">
        <w:rPr>
          <w:b/>
          <w:noProof/>
          <w:lang w:val="en-US"/>
        </w:rPr>
        <w:t xml:space="preserve"> </w:t>
      </w:r>
      <w:r w:rsidRPr="00D324F8">
        <w:rPr>
          <w:b/>
          <w:snapToGrid w:val="0"/>
        </w:rPr>
        <w:t>determine</w:t>
      </w:r>
      <w:r w:rsidR="003353E0" w:rsidRPr="00D324F8">
        <w:rPr>
          <w:b/>
          <w:snapToGrid w:val="0"/>
        </w:rPr>
        <w:t xml:space="preserve"> </w:t>
      </w:r>
      <w:r w:rsidRPr="00D324F8">
        <w:rPr>
          <w:b/>
          <w:snapToGrid w:val="0"/>
        </w:rPr>
        <w:t xml:space="preserve">the NPRS occasion </w:t>
      </w:r>
      <w:r w:rsidRPr="00D324F8">
        <w:rPr>
          <w:b/>
          <w:noProof/>
          <w:lang w:val="en-US"/>
        </w:rPr>
        <w:t>positions of the neighbour cells</w:t>
      </w:r>
      <w:r w:rsidR="00E87F60" w:rsidRPr="00D324F8">
        <w:rPr>
          <w:b/>
          <w:noProof/>
          <w:lang w:val="en-US"/>
        </w:rPr>
        <w:t xml:space="preserve">, </w:t>
      </w:r>
      <w:r w:rsidR="00581AA6" w:rsidRPr="00353890">
        <w:rPr>
          <w:b/>
          <w:i/>
          <w:lang w:val="en-US"/>
        </w:rPr>
        <w:t>nprs-Occasion</w:t>
      </w:r>
      <w:r w:rsidRPr="00353890">
        <w:rPr>
          <w:b/>
          <w:i/>
          <w:lang w:val="en-US"/>
        </w:rPr>
        <w:t>Offset</w:t>
      </w:r>
      <w:r w:rsidRPr="00D324F8">
        <w:rPr>
          <w:b/>
          <w:lang w:val="en-US"/>
        </w:rPr>
        <w:t>,</w:t>
      </w:r>
      <w:r w:rsidRPr="00D324F8">
        <w:rPr>
          <w:b/>
          <w:i/>
          <w:snapToGrid w:val="0"/>
        </w:rPr>
        <w:t xml:space="preserve"> </w:t>
      </w:r>
      <w:r w:rsidRPr="00D324F8">
        <w:rPr>
          <w:b/>
          <w:snapToGrid w:val="0"/>
        </w:rPr>
        <w:t xml:space="preserve">which specifies the offset between the NPRS </w:t>
      </w:r>
      <w:r w:rsidR="00581AA6" w:rsidRPr="00D324F8">
        <w:rPr>
          <w:b/>
          <w:snapToGrid w:val="0"/>
        </w:rPr>
        <w:t>occasion</w:t>
      </w:r>
      <w:r w:rsidRPr="00D324F8">
        <w:rPr>
          <w:b/>
          <w:snapToGrid w:val="0"/>
        </w:rPr>
        <w:t xml:space="preserve"> in reference cell and </w:t>
      </w:r>
      <w:r w:rsidR="00D324F8" w:rsidRPr="00D324F8">
        <w:rPr>
          <w:b/>
          <w:snapToGrid w:val="0"/>
        </w:rPr>
        <w:t>the closest subsequent NPRS positioning occasion of the neighbour cell</w:t>
      </w:r>
      <w:r w:rsidR="00E964CE">
        <w:rPr>
          <w:b/>
          <w:snapToGrid w:val="0"/>
        </w:rPr>
        <w:t xml:space="preserve">, may </w:t>
      </w:r>
      <w:r w:rsidR="00664278">
        <w:rPr>
          <w:b/>
          <w:snapToGrid w:val="0"/>
        </w:rPr>
        <w:t>be optionally</w:t>
      </w:r>
      <w:r w:rsidR="00757CC8" w:rsidRPr="00D324F8">
        <w:rPr>
          <w:b/>
          <w:snapToGrid w:val="0"/>
        </w:rPr>
        <w:t xml:space="preserve"> included as part of neighbour cell information.</w:t>
      </w:r>
    </w:p>
    <w:p w14:paraId="117CDE61" w14:textId="4CA980A7" w:rsidR="00C30316" w:rsidRDefault="00A64313" w:rsidP="00C30316">
      <w:pPr>
        <w:pStyle w:val="ListParagraph"/>
        <w:numPr>
          <w:ilvl w:val="0"/>
          <w:numId w:val="43"/>
        </w:numPr>
        <w:rPr>
          <w:b/>
          <w:snapToGrid w:val="0"/>
        </w:rPr>
      </w:pPr>
      <w:r w:rsidRPr="00353890">
        <w:rPr>
          <w:b/>
          <w:i/>
          <w:lang w:val="en-US"/>
        </w:rPr>
        <w:t>nprs-OccasionOffset</w:t>
      </w:r>
      <w:r w:rsidR="00485800">
        <w:rPr>
          <w:b/>
          <w:lang w:val="en-US"/>
        </w:rPr>
        <w:t xml:space="preserve">: </w:t>
      </w:r>
      <w:r w:rsidRPr="00A64313">
        <w:rPr>
          <w:b/>
          <w:snapToGrid w:val="0"/>
        </w:rPr>
        <w:t>INTEGER (0..39)</w:t>
      </w:r>
      <w:r w:rsidR="00485800">
        <w:rPr>
          <w:b/>
          <w:snapToGrid w:val="0"/>
        </w:rPr>
        <w:t xml:space="preserve"> subframes</w:t>
      </w:r>
    </w:p>
    <w:p w14:paraId="1DB95D70" w14:textId="77777777" w:rsidR="00B5475E" w:rsidRPr="00A6576A" w:rsidRDefault="00B5475E" w:rsidP="00B5475E">
      <w:pPr>
        <w:pStyle w:val="ListParagraph"/>
        <w:rPr>
          <w:b/>
          <w:snapToGrid w:val="0"/>
        </w:rPr>
      </w:pPr>
    </w:p>
    <w:p w14:paraId="60A268E5" w14:textId="756E55F7" w:rsidR="00C30316" w:rsidRPr="00A6576A" w:rsidRDefault="00A6576A" w:rsidP="00C30316">
      <w:pPr>
        <w:rPr>
          <w:b/>
          <w:snapToGrid w:val="0"/>
        </w:rPr>
      </w:pPr>
      <w:r w:rsidRPr="00A6576A">
        <w:rPr>
          <w:b/>
          <w:snapToGrid w:val="0"/>
        </w:rPr>
        <w:t xml:space="preserve">Proposal 2: </w:t>
      </w:r>
      <w:r w:rsidRPr="00A6576A">
        <w:rPr>
          <w:b/>
          <w:lang w:val="en-US"/>
        </w:rPr>
        <w:t xml:space="preserve">When NPRS is indicated </w:t>
      </w:r>
      <w:r w:rsidR="00321BF4">
        <w:rPr>
          <w:b/>
          <w:lang w:val="en-US"/>
        </w:rPr>
        <w:t xml:space="preserve">only </w:t>
      </w:r>
      <w:r w:rsidRPr="00A6576A">
        <w:rPr>
          <w:b/>
          <w:lang w:val="en-US"/>
        </w:rPr>
        <w:t>with Part A,</w:t>
      </w:r>
      <w:r w:rsidRPr="00A6576A">
        <w:rPr>
          <w:b/>
          <w:snapToGrid w:val="0"/>
        </w:rPr>
        <w:t xml:space="preserve"> i</w:t>
      </w:r>
      <w:r w:rsidR="00C30316" w:rsidRPr="00A6576A">
        <w:rPr>
          <w:b/>
          <w:snapToGrid w:val="0"/>
        </w:rPr>
        <w:t xml:space="preserve">f the </w:t>
      </w:r>
      <w:r w:rsidR="00C30316" w:rsidRPr="00A6576A">
        <w:rPr>
          <w:b/>
          <w:i/>
          <w:lang w:val="en-US"/>
        </w:rPr>
        <w:t>nprs-OccasionOffset</w:t>
      </w:r>
      <w:r w:rsidR="00C30316" w:rsidRPr="00A6576A">
        <w:rPr>
          <w:b/>
          <w:lang w:val="en-US"/>
        </w:rPr>
        <w:t xml:space="preserve"> field is not present but </w:t>
      </w:r>
      <w:r w:rsidRPr="00A6576A">
        <w:rPr>
          <w:b/>
          <w:lang w:val="en-US"/>
        </w:rPr>
        <w:t>N</w:t>
      </w:r>
      <w:r w:rsidR="00D563ED">
        <w:rPr>
          <w:b/>
          <w:lang w:val="en-US"/>
        </w:rPr>
        <w:t>PRS is</w:t>
      </w:r>
      <w:r w:rsidR="00C30316" w:rsidRPr="00A6576A">
        <w:rPr>
          <w:b/>
          <w:lang w:val="en-US"/>
        </w:rPr>
        <w:t xml:space="preserve"> avai</w:t>
      </w:r>
      <w:r w:rsidRPr="00A6576A">
        <w:rPr>
          <w:b/>
          <w:lang w:val="en-US"/>
        </w:rPr>
        <w:t>lable on this neighbour cell, UE</w:t>
      </w:r>
      <w:r w:rsidR="00C30316" w:rsidRPr="00A6576A">
        <w:rPr>
          <w:b/>
          <w:lang w:val="en-US"/>
        </w:rPr>
        <w:t xml:space="preserve"> shall consider the </w:t>
      </w:r>
      <w:r w:rsidRPr="00A6576A">
        <w:rPr>
          <w:b/>
          <w:lang w:val="en-US"/>
        </w:rPr>
        <w:t>NPRS occasion</w:t>
      </w:r>
      <w:r w:rsidR="00C30316" w:rsidRPr="00A6576A">
        <w:rPr>
          <w:b/>
          <w:lang w:val="en-US"/>
        </w:rPr>
        <w:t xml:space="preserve"> offset for this</w:t>
      </w:r>
      <w:r w:rsidRPr="00A6576A">
        <w:rPr>
          <w:b/>
          <w:lang w:val="en-US"/>
        </w:rPr>
        <w:t xml:space="preserve"> neighbour</w:t>
      </w:r>
      <w:r w:rsidR="00C30316" w:rsidRPr="00A6576A">
        <w:rPr>
          <w:b/>
          <w:lang w:val="en-US"/>
        </w:rPr>
        <w:t xml:space="preserve"> cell to be 0.</w:t>
      </w:r>
    </w:p>
    <w:p w14:paraId="02E78883" w14:textId="3C777C1C" w:rsidR="00775FC8" w:rsidRDefault="004F7BB6" w:rsidP="00775FC8">
      <w:pPr>
        <w:pStyle w:val="Heading2"/>
        <w:rPr>
          <w:lang w:val="en-US"/>
        </w:rPr>
      </w:pPr>
      <w:r>
        <w:rPr>
          <w:lang w:val="en-US"/>
        </w:rPr>
        <w:lastRenderedPageBreak/>
        <w:t>NPRS</w:t>
      </w:r>
      <w:r w:rsidR="00372A73">
        <w:rPr>
          <w:lang w:val="en-US"/>
        </w:rPr>
        <w:t xml:space="preserve"> indicated</w:t>
      </w:r>
      <w:r w:rsidR="00775FC8">
        <w:rPr>
          <w:lang w:val="en-US"/>
        </w:rPr>
        <w:t xml:space="preserve"> with Part B</w:t>
      </w:r>
    </w:p>
    <w:p w14:paraId="2B06CAFC" w14:textId="77777777" w:rsidR="00F93982" w:rsidRDefault="00D324F8" w:rsidP="00F93982">
      <w:pPr>
        <w:rPr>
          <w:noProof/>
          <w:lang w:val="en-US"/>
        </w:rPr>
      </w:pPr>
      <w:r w:rsidRPr="00D324F8">
        <w:rPr>
          <w:lang w:val="en-US"/>
        </w:rPr>
        <w:t>For NPRS position indicated with Part B,</w:t>
      </w:r>
      <w:r w:rsidRPr="00D324F8">
        <w:rPr>
          <w:noProof/>
          <w:lang w:val="en-US"/>
        </w:rPr>
        <w:t xml:space="preserve"> the indication scheme is similar to that of LTE PRS. </w:t>
      </w:r>
      <w:r w:rsidR="00F93982">
        <w:rPr>
          <w:lang w:val="en-US"/>
        </w:rPr>
        <w:t xml:space="preserve">However, it is yet to decide on how to </w:t>
      </w:r>
      <w:r w:rsidR="00F93982" w:rsidRPr="003353E0">
        <w:rPr>
          <w:lang w:val="en-US"/>
        </w:rPr>
        <w:t xml:space="preserve">determine the NPRS occasion </w:t>
      </w:r>
      <w:r w:rsidR="00F93982">
        <w:rPr>
          <w:lang w:val="en-US"/>
        </w:rPr>
        <w:t xml:space="preserve">positions of the </w:t>
      </w:r>
      <w:r w:rsidR="00F93982" w:rsidRPr="002E68DF">
        <w:rPr>
          <w:noProof/>
          <w:lang w:val="en-US"/>
        </w:rPr>
        <w:t>neighbo</w:t>
      </w:r>
      <w:r w:rsidR="00F93982">
        <w:rPr>
          <w:noProof/>
          <w:lang w:val="en-US"/>
        </w:rPr>
        <w:t>u</w:t>
      </w:r>
      <w:r w:rsidR="00F93982" w:rsidRPr="002E68DF">
        <w:rPr>
          <w:noProof/>
          <w:lang w:val="en-US"/>
        </w:rPr>
        <w:t>r cells</w:t>
      </w:r>
      <w:r w:rsidR="00F93982">
        <w:rPr>
          <w:noProof/>
          <w:lang w:val="en-US"/>
        </w:rPr>
        <w:t xml:space="preserve">. </w:t>
      </w:r>
    </w:p>
    <w:p w14:paraId="0B430E45" w14:textId="3B6A3CB0" w:rsidR="00BD4FCB" w:rsidRPr="00BD4FCB" w:rsidRDefault="00F93982" w:rsidP="00BD4FCB">
      <w:pPr>
        <w:rPr>
          <w:noProof/>
          <w:lang w:val="en-US"/>
        </w:rPr>
      </w:pPr>
      <w:r>
        <w:rPr>
          <w:noProof/>
          <w:lang w:val="en-US"/>
        </w:rPr>
        <w:t>If the reference cell and a neighbor cell are on the same carrier frequency layer, it is tempting to reuse the rule in the existing LTE LPP: E</w:t>
      </w:r>
      <w:r w:rsidRPr="003353E0">
        <w:rPr>
          <w:noProof/>
          <w:lang w:val="en-US"/>
        </w:rPr>
        <w:t xml:space="preserve">ach </w:t>
      </w:r>
      <w:r>
        <w:rPr>
          <w:noProof/>
          <w:lang w:val="en-US"/>
        </w:rPr>
        <w:t>N</w:t>
      </w:r>
      <w:r w:rsidRPr="003353E0">
        <w:rPr>
          <w:noProof/>
          <w:lang w:val="en-US"/>
        </w:rPr>
        <w:t xml:space="preserve">PRS positioning occasion in the neighbour cell at least partially overlaps with a </w:t>
      </w:r>
      <w:r>
        <w:rPr>
          <w:noProof/>
          <w:lang w:val="en-US"/>
        </w:rPr>
        <w:t>N</w:t>
      </w:r>
      <w:r w:rsidRPr="003353E0">
        <w:rPr>
          <w:noProof/>
          <w:lang w:val="en-US"/>
        </w:rPr>
        <w:t>PRS positioning occasion in the reference cell where the maximum offset may be assumed to not exceed half a subframe.</w:t>
      </w:r>
      <w:r>
        <w:rPr>
          <w:noProof/>
          <w:lang w:val="en-US"/>
        </w:rPr>
        <w:t xml:space="preserve"> </w:t>
      </w:r>
      <w:r w:rsidR="00BD4FCB" w:rsidRPr="00D324F8">
        <w:rPr>
          <w:noProof/>
          <w:lang w:val="en-US"/>
        </w:rPr>
        <w:t xml:space="preserve">However, it should be noted that </w:t>
      </w:r>
      <w:r w:rsidR="00BD4FCB">
        <w:rPr>
          <w:rFonts w:eastAsia="MS Mincho"/>
          <w:lang w:val="en-US" w:eastAsia="ja-JP"/>
        </w:rPr>
        <w:t>f</w:t>
      </w:r>
      <w:r w:rsidR="00BD4FCB" w:rsidRPr="00D324F8">
        <w:rPr>
          <w:rFonts w:eastAsia="MS Mincho"/>
          <w:lang w:val="en-US" w:eastAsia="ja-JP"/>
        </w:rPr>
        <w:t xml:space="preserve">or a given periodicity of NPRS occasion, the starting subframe offset of NPRS occasion </w:t>
      </w:r>
      <m:oMath>
        <m:sSub>
          <m:sSubPr>
            <m:ctrlPr>
              <w:rPr>
                <w:rFonts w:ascii="Cambria Math" w:eastAsia="MS Mincho" w:hAnsi="Cambria Math"/>
                <w:i/>
                <w:lang w:val="en-US" w:eastAsia="ja-JP"/>
              </w:rPr>
            </m:ctrlPr>
          </m:sSubPr>
          <m:e>
            <m:r>
              <m:rPr>
                <m:sty m:val="p"/>
              </m:rPr>
              <w:rPr>
                <w:rFonts w:ascii="Cambria Math" w:eastAsia="MS Mincho" w:hAnsi="Cambria Math"/>
                <w:lang w:val="en-US" w:eastAsia="ja-JP"/>
              </w:rPr>
              <m:t>Δ</m:t>
            </m:r>
            <m:ctrlPr>
              <w:rPr>
                <w:rFonts w:ascii="Cambria Math" w:eastAsia="MS Mincho" w:hAnsi="Cambria Math"/>
                <w:lang w:val="en-US" w:eastAsia="ja-JP"/>
              </w:rPr>
            </m:ctrlPr>
          </m:e>
          <m:sub>
            <m:r>
              <w:rPr>
                <w:rFonts w:ascii="Cambria Math" w:eastAsia="MS Mincho" w:hAnsi="Cambria Math"/>
                <w:lang w:val="en-US" w:eastAsia="ja-JP"/>
              </w:rPr>
              <m:t>PRS</m:t>
            </m:r>
          </m:sub>
        </m:sSub>
      </m:oMath>
      <w:r w:rsidR="00BD4FCB" w:rsidRPr="00D324F8">
        <w:rPr>
          <w:rFonts w:eastAsia="MS Mincho"/>
          <w:lang w:val="en-US" w:eastAsia="ja-JP"/>
        </w:rPr>
        <w:t xml:space="preserve">= </w:t>
      </w:r>
      <m:oMath>
        <m:r>
          <m:rPr>
            <m:sty m:val="p"/>
          </m:rPr>
          <w:rPr>
            <w:rFonts w:ascii="Cambria Math" w:hAnsi="Cambria Math"/>
            <w:color w:val="000000"/>
            <w:kern w:val="24"/>
            <w:lang w:val="en-US"/>
          </w:rPr>
          <m:t>αT</m:t>
        </m:r>
        <m:r>
          <m:rPr>
            <m:sty m:val="p"/>
          </m:rPr>
          <w:rPr>
            <w:rFonts w:ascii="Cambria Math" w:hAnsi="Cambria Math"/>
            <w:color w:val="000000"/>
            <w:kern w:val="24"/>
            <w:position w:val="-8"/>
            <w:vertAlign w:val="subscript"/>
            <w:lang w:val="en-US"/>
          </w:rPr>
          <m:t>PRS</m:t>
        </m:r>
      </m:oMath>
      <w:r w:rsidR="00BD4FCB" w:rsidRPr="00D324F8">
        <w:rPr>
          <w:rFonts w:eastAsia="MS Mincho"/>
          <w:lang w:val="en-US" w:eastAsia="ja-JP"/>
        </w:rPr>
        <w:t xml:space="preserve">, </w:t>
      </w:r>
      <m:oMath>
        <m:r>
          <m:rPr>
            <m:sty m:val="p"/>
          </m:rPr>
          <w:rPr>
            <w:rFonts w:ascii="Cambria Math" w:hAnsi="Cambria Math"/>
            <w:color w:val="000000"/>
            <w:kern w:val="24"/>
            <w:lang w:val="en-US"/>
          </w:rPr>
          <m:t>α∈{0,</m:t>
        </m:r>
        <m:f>
          <m:fPr>
            <m:ctrlPr>
              <w:rPr>
                <w:rFonts w:ascii="Cambria Math" w:hAnsi="Cambria Math"/>
                <w:iCs/>
                <w:color w:val="000000"/>
                <w:kern w:val="24"/>
                <w:lang w:val="en-US"/>
              </w:rPr>
            </m:ctrlPr>
          </m:fPr>
          <m:num>
            <m:r>
              <m:rPr>
                <m:sty m:val="p"/>
              </m:rPr>
              <w:rPr>
                <w:rFonts w:ascii="Cambria Math" w:hAnsi="Cambria Math"/>
                <w:color w:val="000000"/>
                <w:kern w:val="24"/>
                <w:lang w:val="en-US"/>
              </w:rPr>
              <m:t>1</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2</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3</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4</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5</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6</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f>
          <m:fPr>
            <m:ctrlPr>
              <w:rPr>
                <w:rFonts w:ascii="Cambria Math" w:hAnsi="Cambria Math"/>
                <w:iCs/>
                <w:color w:val="000000"/>
                <w:kern w:val="24"/>
                <w:lang w:val="en-US"/>
              </w:rPr>
            </m:ctrlPr>
          </m:fPr>
          <m:num>
            <m:r>
              <m:rPr>
                <m:sty m:val="p"/>
              </m:rPr>
              <w:rPr>
                <w:rFonts w:ascii="Cambria Math" w:hAnsi="Cambria Math"/>
                <w:color w:val="000000"/>
                <w:kern w:val="24"/>
                <w:lang w:val="en-US"/>
              </w:rPr>
              <m:t>7</m:t>
            </m:r>
          </m:num>
          <m:den>
            <m:r>
              <m:rPr>
                <m:sty m:val="p"/>
              </m:rPr>
              <w:rPr>
                <w:rFonts w:ascii="Cambria Math" w:hAnsi="Cambria Math"/>
                <w:color w:val="000000"/>
                <w:kern w:val="24"/>
                <w:lang w:val="en-US"/>
              </w:rPr>
              <m:t>8</m:t>
            </m:r>
          </m:den>
        </m:f>
        <m:r>
          <m:rPr>
            <m:sty m:val="p"/>
          </m:rPr>
          <w:rPr>
            <w:rFonts w:ascii="Cambria Math" w:hAnsi="Cambria Math"/>
            <w:color w:val="000000"/>
            <w:kern w:val="24"/>
            <w:lang w:val="en-US"/>
          </w:rPr>
          <m:t>}</m:t>
        </m:r>
      </m:oMath>
      <w:r w:rsidR="00BD4FCB">
        <w:rPr>
          <w:rFonts w:eastAsia="MS Mincho"/>
          <w:color w:val="000000"/>
          <w:kern w:val="24"/>
          <w:lang w:val="en-US"/>
        </w:rPr>
        <w:t xml:space="preserve">. In contrast, </w:t>
      </w:r>
      <w:r w:rsidR="00BD4FCB" w:rsidRPr="00D324F8">
        <w:rPr>
          <w:rFonts w:eastAsia="MS Mincho"/>
          <w:lang w:val="en-US" w:eastAsia="ja-JP"/>
        </w:rPr>
        <w:t>t</w:t>
      </w:r>
      <w:r w:rsidR="006B3A83">
        <w:rPr>
          <w:rFonts w:eastAsia="MS Mincho"/>
          <w:lang w:val="en-US" w:eastAsia="ja-JP"/>
        </w:rPr>
        <w:t xml:space="preserve">he starting subframe offset of LTE </w:t>
      </w:r>
      <w:r w:rsidR="00BD4FCB" w:rsidRPr="00D324F8">
        <w:rPr>
          <w:rFonts w:eastAsia="MS Mincho"/>
          <w:lang w:val="en-US" w:eastAsia="ja-JP"/>
        </w:rPr>
        <w:t>PRS</w:t>
      </w:r>
      <w:r w:rsidR="00DB3DB9">
        <w:rPr>
          <w:rFonts w:eastAsia="MS Mincho"/>
          <w:lang w:val="en-US" w:eastAsia="ja-JP"/>
        </w:rPr>
        <w:t xml:space="preserve"> takes values at</w:t>
      </w:r>
      <w:r w:rsidR="00BD4FCB">
        <w:rPr>
          <w:rFonts w:eastAsia="MS Mincho"/>
          <w:lang w:val="en-US" w:eastAsia="ja-JP"/>
        </w:rPr>
        <w:t xml:space="preserve"> the granularity of one subframe, i.e., it can be 0, 1, …, or T</w:t>
      </w:r>
      <w:r w:rsidR="00BD4FCB" w:rsidRPr="004577A1">
        <w:rPr>
          <w:rFonts w:eastAsia="MS Mincho"/>
          <w:vertAlign w:val="subscript"/>
          <w:lang w:val="en-US" w:eastAsia="ja-JP"/>
        </w:rPr>
        <w:t>PRS</w:t>
      </w:r>
      <w:r w:rsidR="00BD4FCB">
        <w:rPr>
          <w:rFonts w:eastAsia="MS Mincho"/>
          <w:lang w:val="en-US" w:eastAsia="ja-JP"/>
        </w:rPr>
        <w:t xml:space="preserve">-1 subframes. Due to the restriction of </w:t>
      </w:r>
      <w:r w:rsidR="00BD4FCB" w:rsidRPr="00D324F8">
        <w:rPr>
          <w:rFonts w:eastAsia="MS Mincho"/>
          <w:lang w:val="en-US" w:eastAsia="ja-JP"/>
        </w:rPr>
        <w:t>the starting subframe offset of NPRS</w:t>
      </w:r>
      <w:r w:rsidR="00BD4FCB">
        <w:rPr>
          <w:rFonts w:eastAsia="MS Mincho"/>
          <w:lang w:val="en-US" w:eastAsia="ja-JP"/>
        </w:rPr>
        <w:t xml:space="preserve">, </w:t>
      </w:r>
      <w:r w:rsidR="00BD4FCB">
        <w:rPr>
          <w:noProof/>
          <w:lang w:val="en-US"/>
        </w:rPr>
        <w:t>the frame structrues of the cells also need to be sync</w:t>
      </w:r>
      <w:r w:rsidR="00747572">
        <w:rPr>
          <w:noProof/>
          <w:lang w:val="en-US"/>
        </w:rPr>
        <w:t>hronized</w:t>
      </w:r>
      <w:r w:rsidR="00BD4FCB">
        <w:rPr>
          <w:noProof/>
          <w:lang w:val="en-US"/>
        </w:rPr>
        <w:t xml:space="preserve">. </w:t>
      </w:r>
      <w:r w:rsidR="003B33D8">
        <w:rPr>
          <w:noProof/>
          <w:lang w:val="en-US"/>
        </w:rPr>
        <w:t>Specifically, t</w:t>
      </w:r>
      <w:r w:rsidR="003B33D8" w:rsidRPr="003B33D8">
        <w:rPr>
          <w:noProof/>
          <w:lang w:val="en-US"/>
        </w:rPr>
        <w:t>he positioning reference signal instances, for the first subframe of the dow</w:t>
      </w:r>
      <w:r w:rsidR="003B33D8">
        <w:rPr>
          <w:noProof/>
          <w:lang w:val="en-US"/>
        </w:rPr>
        <w:t xml:space="preserve">nlink subframes, shall satisfy </w:t>
      </w:r>
      <w:r w:rsidR="003B33D8" w:rsidRPr="00AE2D4B">
        <w:rPr>
          <w:position w:val="-10"/>
        </w:rPr>
        <w:object w:dxaOrig="3140" w:dyaOrig="300" w14:anchorId="517B2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pt" o:ole="">
            <v:imagedata r:id="rId12" o:title=""/>
          </v:shape>
          <o:OLEObject Type="Embed" ProgID="Equation.3" ShapeID="_x0000_i1025" DrawAspect="Content" ObjectID="_1547878504" r:id="rId13"/>
        </w:object>
      </w:r>
      <w:r w:rsidR="003B33D8">
        <w:t xml:space="preserve">, where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3B33D8">
        <w:t xml:space="preserve"> is radio frame index and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3B33D8">
        <w:t xml:space="preserve"> is slot index.  </w:t>
      </w:r>
      <w:r w:rsidR="00F01A41">
        <w:t xml:space="preserve">Since the smallest value of </w:t>
      </w:r>
      <m:oMath>
        <m:sSub>
          <m:sSubPr>
            <m:ctrlPr>
              <w:rPr>
                <w:rFonts w:ascii="Cambria Math" w:eastAsia="MS Mincho" w:hAnsi="Cambria Math"/>
                <w:i/>
                <w:lang w:val="en-US" w:eastAsia="ja-JP"/>
              </w:rPr>
            </m:ctrlPr>
          </m:sSubPr>
          <m:e>
            <m:r>
              <m:rPr>
                <m:sty m:val="p"/>
              </m:rPr>
              <w:rPr>
                <w:rFonts w:ascii="Cambria Math" w:eastAsia="MS Mincho" w:hAnsi="Cambria Math"/>
                <w:lang w:val="en-US" w:eastAsia="ja-JP"/>
              </w:rPr>
              <m:t>T</m:t>
            </m:r>
            <m:ctrlPr>
              <w:rPr>
                <w:rFonts w:ascii="Cambria Math" w:eastAsia="MS Mincho" w:hAnsi="Cambria Math"/>
                <w:lang w:val="en-US" w:eastAsia="ja-JP"/>
              </w:rPr>
            </m:ctrlPr>
          </m:e>
          <m:sub>
            <m:r>
              <w:rPr>
                <w:rFonts w:ascii="Cambria Math" w:eastAsia="MS Mincho" w:hAnsi="Cambria Math"/>
                <w:lang w:val="en-US" w:eastAsia="ja-JP"/>
              </w:rPr>
              <m:t>PRS</m:t>
            </m:r>
          </m:sub>
        </m:sSub>
      </m:oMath>
      <w:r w:rsidR="00F01A41">
        <w:rPr>
          <w:lang w:val="en-US" w:eastAsia="ja-JP"/>
        </w:rPr>
        <w:t xml:space="preserve"> is 160 subframes, the PRS subframe offset </w:t>
      </w:r>
      <m:oMath>
        <m:sSub>
          <m:sSubPr>
            <m:ctrlPr>
              <w:rPr>
                <w:rFonts w:ascii="Cambria Math" w:eastAsia="MS Mincho" w:hAnsi="Cambria Math"/>
                <w:i/>
                <w:lang w:val="en-US" w:eastAsia="ja-JP"/>
              </w:rPr>
            </m:ctrlPr>
          </m:sSubPr>
          <m:e>
            <m:r>
              <m:rPr>
                <m:sty m:val="p"/>
              </m:rPr>
              <w:rPr>
                <w:rFonts w:ascii="Cambria Math" w:eastAsia="MS Mincho" w:hAnsi="Cambria Math"/>
                <w:lang w:val="en-US" w:eastAsia="ja-JP"/>
              </w:rPr>
              <m:t>Δ</m:t>
            </m:r>
            <m:ctrlPr>
              <w:rPr>
                <w:rFonts w:ascii="Cambria Math" w:eastAsia="MS Mincho" w:hAnsi="Cambria Math"/>
                <w:lang w:val="en-US" w:eastAsia="ja-JP"/>
              </w:rPr>
            </m:ctrlPr>
          </m:e>
          <m:sub>
            <m:r>
              <w:rPr>
                <w:rFonts w:ascii="Cambria Math" w:eastAsia="MS Mincho" w:hAnsi="Cambria Math"/>
                <w:lang w:val="en-US" w:eastAsia="ja-JP"/>
              </w:rPr>
              <m:t>PRS</m:t>
            </m:r>
          </m:sub>
        </m:sSub>
      </m:oMath>
      <w:r w:rsidR="00F01A41">
        <w:rPr>
          <w:lang w:val="en-US" w:eastAsia="ja-JP"/>
        </w:rPr>
        <w:t xml:space="preserve"> is a multiple of 20 subframes. This requires the radio frame boundaries of reference cell and neighbor cell to be aligned, i.e., arbitrary subframe and/or slot offset is not possible. </w:t>
      </w:r>
      <w:r w:rsidR="00BD4FCB">
        <w:rPr>
          <w:noProof/>
          <w:lang w:val="en-US"/>
        </w:rPr>
        <w:t xml:space="preserve">This imposes a significant </w:t>
      </w:r>
      <w:r w:rsidR="00BD4FCB" w:rsidRPr="00581AA6">
        <w:rPr>
          <w:noProof/>
          <w:lang w:val="en-US"/>
        </w:rPr>
        <w:t xml:space="preserve">limit </w:t>
      </w:r>
      <w:r w:rsidR="00BD4FCB">
        <w:rPr>
          <w:noProof/>
          <w:lang w:val="en-US"/>
        </w:rPr>
        <w:t>on the</w:t>
      </w:r>
      <w:r w:rsidR="00BD4FCB" w:rsidRPr="00581AA6">
        <w:rPr>
          <w:noProof/>
          <w:lang w:val="en-US"/>
        </w:rPr>
        <w:t xml:space="preserve"> </w:t>
      </w:r>
      <w:r w:rsidR="00BD4FCB">
        <w:rPr>
          <w:noProof/>
          <w:lang w:val="en-US"/>
        </w:rPr>
        <w:t>SFN and/or slot planning for NB-IoT</w:t>
      </w:r>
      <w:r w:rsidR="00BD4FCB" w:rsidRPr="00581AA6">
        <w:rPr>
          <w:noProof/>
          <w:lang w:val="en-US"/>
        </w:rPr>
        <w:t xml:space="preserve"> cells.</w:t>
      </w:r>
      <w:r w:rsidR="00F01A41">
        <w:rPr>
          <w:noProof/>
          <w:lang w:val="en-US"/>
        </w:rPr>
        <w:t xml:space="preserve"> </w:t>
      </w:r>
      <w:r w:rsidR="00F01A41">
        <w:rPr>
          <w:lang w:val="en-US" w:eastAsia="ja-JP"/>
        </w:rPr>
        <w:t xml:space="preserve">An illustration of this limitation is given in </w:t>
      </w:r>
      <w:r w:rsidR="00F01A41">
        <w:rPr>
          <w:lang w:val="en-US" w:eastAsia="ja-JP"/>
        </w:rPr>
        <w:fldChar w:fldCharType="begin"/>
      </w:r>
      <w:r w:rsidR="00F01A41">
        <w:rPr>
          <w:lang w:val="en-US" w:eastAsia="ja-JP"/>
        </w:rPr>
        <w:instrText xml:space="preserve"> REF _Ref473799590 \h </w:instrText>
      </w:r>
      <w:r w:rsidR="00F01A41">
        <w:rPr>
          <w:lang w:val="en-US" w:eastAsia="ja-JP"/>
        </w:rPr>
      </w:r>
      <w:r w:rsidR="00F01A41">
        <w:rPr>
          <w:lang w:val="en-US" w:eastAsia="ja-JP"/>
        </w:rPr>
        <w:fldChar w:fldCharType="separate"/>
      </w:r>
      <w:r w:rsidR="00F01A41">
        <w:t xml:space="preserve">Figure </w:t>
      </w:r>
      <w:r w:rsidR="00F01A41">
        <w:rPr>
          <w:noProof/>
        </w:rPr>
        <w:t>5</w:t>
      </w:r>
      <w:r w:rsidR="00F01A41">
        <w:rPr>
          <w:lang w:val="en-US" w:eastAsia="ja-JP"/>
        </w:rPr>
        <w:fldChar w:fldCharType="end"/>
      </w:r>
      <w:r w:rsidR="00F01A41">
        <w:rPr>
          <w:lang w:val="en-US" w:eastAsia="ja-JP"/>
        </w:rPr>
        <w:t xml:space="preserve">. </w:t>
      </w:r>
    </w:p>
    <w:p w14:paraId="43FD137E" w14:textId="144A4D72" w:rsidR="00EB2A3C" w:rsidRDefault="00020F48" w:rsidP="00BD4FCB">
      <w:pPr>
        <w:rPr>
          <w:noProof/>
          <w:lang w:val="en-US"/>
        </w:rPr>
      </w:pPr>
      <w:r>
        <w:rPr>
          <w:noProof/>
          <w:lang w:val="en-US"/>
        </w:rPr>
        <w:drawing>
          <wp:inline distT="0" distB="0" distL="0" distR="0" wp14:anchorId="659CC38E" wp14:editId="260DB673">
            <wp:extent cx="6115050" cy="22561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15050" cy="2256155"/>
                    </a:xfrm>
                    <a:prstGeom prst="rect">
                      <a:avLst/>
                    </a:prstGeom>
                  </pic:spPr>
                </pic:pic>
              </a:graphicData>
            </a:graphic>
          </wp:inline>
        </w:drawing>
      </w:r>
    </w:p>
    <w:p w14:paraId="2AC9042C" w14:textId="1A1C5983" w:rsidR="00C30316" w:rsidRDefault="00EB2A3C" w:rsidP="00C30316">
      <w:pPr>
        <w:rPr>
          <w:b/>
          <w:snapToGrid w:val="0"/>
        </w:rPr>
      </w:pPr>
      <w:bookmarkStart w:id="5" w:name="_Ref473799590"/>
      <w:r>
        <w:t xml:space="preserve">Figure </w:t>
      </w:r>
      <w:r>
        <w:rPr>
          <w:b/>
          <w:bCs/>
        </w:rPr>
        <w:fldChar w:fldCharType="begin"/>
      </w:r>
      <w:r>
        <w:instrText xml:space="preserve"> SEQ Figure \* ARABIC </w:instrText>
      </w:r>
      <w:r>
        <w:rPr>
          <w:b/>
          <w:bCs/>
        </w:rPr>
        <w:fldChar w:fldCharType="separate"/>
      </w:r>
      <w:r w:rsidR="00F01A41">
        <w:rPr>
          <w:noProof/>
        </w:rPr>
        <w:t>5</w:t>
      </w:r>
      <w:r>
        <w:rPr>
          <w:b/>
          <w:bCs/>
        </w:rPr>
        <w:fldChar w:fldCharType="end"/>
      </w:r>
      <w:bookmarkEnd w:id="5"/>
      <w:r>
        <w:t>: An illustration of</w:t>
      </w:r>
      <w:r>
        <w:rPr>
          <w:noProof/>
          <w:lang w:val="en-US"/>
        </w:rPr>
        <w:t xml:space="preserve"> </w:t>
      </w:r>
      <w:r>
        <w:t xml:space="preserve">NPRS Part B indication requiring aligned frame boundary: NPRS period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=160</m:t>
        </m:r>
      </m:oMath>
      <w:r>
        <w:t xml:space="preserve"> subframes; PRS subframe offset of the reference cell</w:t>
      </w:r>
      <w:r w:rsidR="00020F48">
        <w:t xml:space="preserve"> </w:t>
      </w:r>
      <m:oMath>
        <m:r>
          <m:rPr>
            <m:sty m:val="bi"/>
          </m:rPr>
          <w:rPr>
            <w:rFonts w:ascii="Cambria Math" w:hAnsi="Cambria Math" w:cs="Cambria Math"/>
          </w:rPr>
          <m:t>x</m:t>
        </m:r>
        <m:r>
          <m:rPr>
            <m:sty m:val="b"/>
          </m:rPr>
          <w:rPr>
            <w:rFonts w:ascii="Cambria Math" w:hAnsi="Cambria Math" w:cs="Cambria Math"/>
          </w:rPr>
          <m:t>=</m:t>
        </m:r>
        <m:f>
          <m:fPr>
            <m:ctrlPr>
              <w:rPr>
                <w:rFonts w:ascii="Cambria Math" w:hAnsi="Cambria Math"/>
              </w:rPr>
            </m:ctrlPr>
          </m:fPr>
          <m:num>
            <m:r>
              <m:rPr>
                <m:sty m:val="b"/>
              </m:rPr>
              <w:rPr>
                <w:rFonts w:ascii="Cambria Math" w:hAnsi="Cambria Math" w:cs="Cambria Math"/>
              </w:rPr>
              <m:t>2</m:t>
            </m:r>
          </m:num>
          <m:den>
            <m:r>
              <m:rPr>
                <m:sty m:val="b"/>
              </m:rPr>
              <w:rPr>
                <w:rFonts w:ascii="Cambria Math" w:hAnsi="Cambria Math" w:cs="Cambria Math"/>
              </w:rPr>
              <m:t>8</m:t>
            </m:r>
          </m:den>
        </m:f>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=40</m:t>
        </m:r>
      </m:oMath>
      <w:r w:rsidR="00020F48">
        <w:rPr>
          <w:noProof/>
          <w:lang w:val="en-US"/>
        </w:rPr>
        <w:t xml:space="preserve"> subframes; </w:t>
      </w:r>
      <w:r w:rsidR="00020F48">
        <w:t xml:space="preserve">PRS subframe offset of the </w:t>
      </w:r>
      <w:r w:rsidR="00A63BB7">
        <w:t>neighbour</w:t>
      </w:r>
      <w:r w:rsidR="00020F48">
        <w:t xml:space="preserve"> cell </w:t>
      </w:r>
      <m:oMath>
        <m:r>
          <m:rPr>
            <m:sty m:val="bi"/>
          </m:rPr>
          <w:rPr>
            <w:rFonts w:ascii="Cambria Math" w:hAnsi="Cambria Math" w:cs="Cambria Math"/>
          </w:rPr>
          <m:t>x</m:t>
        </m:r>
        <m:r>
          <m:rPr>
            <m:sty m:val="b"/>
          </m:rPr>
          <w:rPr>
            <w:rFonts w:ascii="Cambria Math" w:hAnsi="Cambria Math" w:cs="Cambria Math"/>
          </w:rPr>
          <m:t>=</m:t>
        </m:r>
        <m:f>
          <m:fPr>
            <m:ctrlPr>
              <w:rPr>
                <w:rFonts w:ascii="Cambria Math" w:hAnsi="Cambria Math"/>
              </w:rPr>
            </m:ctrlPr>
          </m:fPr>
          <m:num>
            <m:r>
              <m:rPr>
                <m:sty m:val="b"/>
              </m:rPr>
              <w:rPr>
                <w:rFonts w:ascii="Cambria Math" w:hAnsi="Cambria Math" w:cs="Cambria Math"/>
              </w:rPr>
              <m:t>4</m:t>
            </m:r>
          </m:num>
          <m:den>
            <m:r>
              <m:rPr>
                <m:sty m:val="b"/>
              </m:rPr>
              <w:rPr>
                <w:rFonts w:ascii="Cambria Math" w:hAnsi="Cambria Math" w:cs="Cambria Math"/>
              </w:rPr>
              <m:t>8</m:t>
            </m:r>
          </m:den>
        </m:f>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=80</m:t>
        </m:r>
      </m:oMath>
      <w:r w:rsidR="00020F48">
        <w:t xml:space="preserve"> </w:t>
      </w:r>
      <w:r w:rsidR="00020F48">
        <w:rPr>
          <w:noProof/>
          <w:lang w:val="en-US"/>
        </w:rPr>
        <w:t>subframes.</w:t>
      </w:r>
      <w:r w:rsidR="00C30316" w:rsidRPr="00C30316">
        <w:rPr>
          <w:b/>
          <w:lang w:val="en-US"/>
        </w:rPr>
        <w:t xml:space="preserve">Proposal </w:t>
      </w:r>
      <w:r w:rsidR="00080205">
        <w:rPr>
          <w:b/>
          <w:lang w:val="en-US"/>
        </w:rPr>
        <w:t>3</w:t>
      </w:r>
      <w:r w:rsidR="00C30316" w:rsidRPr="00C30316">
        <w:rPr>
          <w:b/>
          <w:lang w:val="en-US"/>
        </w:rPr>
        <w:t>: When NPRS is indicated</w:t>
      </w:r>
      <w:r w:rsidR="004F06D1">
        <w:rPr>
          <w:b/>
          <w:lang w:val="en-US"/>
        </w:rPr>
        <w:t xml:space="preserve"> only</w:t>
      </w:r>
      <w:r w:rsidR="00C30316" w:rsidRPr="00C30316">
        <w:rPr>
          <w:b/>
          <w:lang w:val="en-US"/>
        </w:rPr>
        <w:t xml:space="preserve"> with Part B, to</w:t>
      </w:r>
      <w:r w:rsidR="00C30316" w:rsidRPr="00C30316">
        <w:rPr>
          <w:b/>
          <w:noProof/>
          <w:lang w:val="en-US"/>
        </w:rPr>
        <w:t xml:space="preserve"> </w:t>
      </w:r>
      <w:r w:rsidR="00C30316" w:rsidRPr="00C30316">
        <w:rPr>
          <w:b/>
          <w:snapToGrid w:val="0"/>
        </w:rPr>
        <w:t xml:space="preserve">determine the NPRS occasion </w:t>
      </w:r>
      <w:r w:rsidR="00C30316" w:rsidRPr="00C30316">
        <w:rPr>
          <w:b/>
          <w:noProof/>
          <w:lang w:val="en-US"/>
        </w:rPr>
        <w:t xml:space="preserve">positions of the neighbour cells, </w:t>
      </w:r>
      <w:r w:rsidR="00C30316" w:rsidRPr="00C30316">
        <w:rPr>
          <w:b/>
          <w:i/>
          <w:noProof/>
          <w:lang w:val="en-US"/>
        </w:rPr>
        <w:t>n</w:t>
      </w:r>
      <w:r w:rsidR="00C30316" w:rsidRPr="00C30316">
        <w:rPr>
          <w:b/>
          <w:i/>
          <w:snapToGrid w:val="0"/>
        </w:rPr>
        <w:t>prs-SubframeOffset</w:t>
      </w:r>
      <w:r w:rsidR="00C30316" w:rsidRPr="00C30316">
        <w:rPr>
          <w:b/>
          <w:lang w:val="en-US"/>
        </w:rPr>
        <w:t>,</w:t>
      </w:r>
      <w:r w:rsidR="00C30316" w:rsidRPr="00C30316">
        <w:rPr>
          <w:b/>
          <w:i/>
          <w:snapToGrid w:val="0"/>
        </w:rPr>
        <w:t xml:space="preserve"> </w:t>
      </w:r>
      <w:r w:rsidR="00C30316" w:rsidRPr="00C30316">
        <w:rPr>
          <w:b/>
          <w:snapToGrid w:val="0"/>
        </w:rPr>
        <w:t xml:space="preserve">which specifies the offset between the first PRS subframe in reference cell and the first PRS subframe in the closest </w:t>
      </w:r>
      <w:bookmarkStart w:id="6" w:name="_GoBack"/>
      <w:bookmarkEnd w:id="6"/>
      <w:r w:rsidR="00C30316" w:rsidRPr="00C30316">
        <w:rPr>
          <w:b/>
          <w:snapToGrid w:val="0"/>
        </w:rPr>
        <w:t>subsequent PRS positioning oc</w:t>
      </w:r>
      <w:r w:rsidR="00354C1A">
        <w:rPr>
          <w:b/>
          <w:snapToGrid w:val="0"/>
        </w:rPr>
        <w:t>casion of the neighbour cell, may be optionally</w:t>
      </w:r>
      <w:r w:rsidR="00C30316" w:rsidRPr="00C30316">
        <w:rPr>
          <w:b/>
          <w:snapToGrid w:val="0"/>
        </w:rPr>
        <w:t xml:space="preserve"> included as part of neighbour cell information.</w:t>
      </w:r>
    </w:p>
    <w:p w14:paraId="783E05D5" w14:textId="74E0A2EE" w:rsidR="00197EC0" w:rsidRPr="00B5475E" w:rsidRDefault="00C30316" w:rsidP="001C7D7F">
      <w:pPr>
        <w:pStyle w:val="ListParagraph"/>
        <w:numPr>
          <w:ilvl w:val="0"/>
          <w:numId w:val="43"/>
        </w:numPr>
        <w:rPr>
          <w:b/>
          <w:snapToGrid w:val="0"/>
        </w:rPr>
      </w:pPr>
      <w:r w:rsidRPr="00B5475E">
        <w:rPr>
          <w:b/>
          <w:i/>
          <w:noProof/>
          <w:lang w:val="en-US"/>
        </w:rPr>
        <w:t>n</w:t>
      </w:r>
      <w:r w:rsidRPr="00B5475E">
        <w:rPr>
          <w:b/>
          <w:i/>
          <w:snapToGrid w:val="0"/>
        </w:rPr>
        <w:t xml:space="preserve">prs-SubframeOffset: </w:t>
      </w:r>
      <w:r w:rsidRPr="00B5475E">
        <w:rPr>
          <w:b/>
          <w:snapToGrid w:val="0"/>
        </w:rPr>
        <w:t>INTEGER (0</w:t>
      </w:r>
      <w:r w:rsidR="00D563ED">
        <w:rPr>
          <w:b/>
          <w:snapToGrid w:val="0"/>
        </w:rPr>
        <w:t>…</w:t>
      </w:r>
      <w:r w:rsidRPr="00B5475E">
        <w:rPr>
          <w:b/>
          <w:snapToGrid w:val="0"/>
        </w:rPr>
        <w:t>1279) subframes</w:t>
      </w:r>
    </w:p>
    <w:p w14:paraId="0CA007B7" w14:textId="6CBDF14B" w:rsidR="00B5475E" w:rsidRPr="00B5475E" w:rsidRDefault="00B5475E" w:rsidP="001C7D7F">
      <w:pPr>
        <w:pStyle w:val="ListParagraph"/>
        <w:numPr>
          <w:ilvl w:val="0"/>
          <w:numId w:val="43"/>
        </w:numPr>
        <w:rPr>
          <w:b/>
          <w:snapToGrid w:val="0"/>
        </w:rPr>
      </w:pPr>
      <w:r w:rsidRPr="00B5475E">
        <w:rPr>
          <w:b/>
          <w:i/>
          <w:noProof/>
          <w:lang w:val="en-US"/>
        </w:rPr>
        <w:t>n</w:t>
      </w:r>
      <w:r w:rsidRPr="00B5475E">
        <w:rPr>
          <w:b/>
          <w:i/>
          <w:snapToGrid w:val="0"/>
        </w:rPr>
        <w:t xml:space="preserve">prs-SubframeOffset </w:t>
      </w:r>
      <w:r w:rsidRPr="00B5475E">
        <w:rPr>
          <w:b/>
          <w:snapToGrid w:val="0"/>
        </w:rPr>
        <w:t xml:space="preserve">is used both when </w:t>
      </w:r>
      <w:r w:rsidRPr="00B5475E">
        <w:rPr>
          <w:b/>
          <w:noProof/>
          <w:lang w:val="en-US"/>
        </w:rPr>
        <w:t>the reference cell and a neighbor cell are on the different frequency layers and when the reference cell and a neighbor cell are on the same frequency layer.</w:t>
      </w:r>
    </w:p>
    <w:p w14:paraId="4DDEB205" w14:textId="77777777" w:rsidR="00B5475E" w:rsidRPr="00B5475E" w:rsidRDefault="00B5475E" w:rsidP="00B5475E">
      <w:pPr>
        <w:pStyle w:val="ListParagraph"/>
        <w:rPr>
          <w:b/>
          <w:snapToGrid w:val="0"/>
        </w:rPr>
      </w:pPr>
    </w:p>
    <w:p w14:paraId="5FB20580" w14:textId="12E00997" w:rsidR="00080205" w:rsidRPr="00A6576A" w:rsidRDefault="00080205" w:rsidP="00080205">
      <w:pPr>
        <w:rPr>
          <w:b/>
          <w:snapToGrid w:val="0"/>
        </w:rPr>
      </w:pPr>
      <w:r w:rsidRPr="00A6576A">
        <w:rPr>
          <w:b/>
          <w:snapToGrid w:val="0"/>
        </w:rPr>
        <w:t xml:space="preserve">Proposal </w:t>
      </w:r>
      <w:r>
        <w:rPr>
          <w:b/>
          <w:snapToGrid w:val="0"/>
        </w:rPr>
        <w:t>4</w:t>
      </w:r>
      <w:r w:rsidRPr="00A6576A">
        <w:rPr>
          <w:b/>
          <w:snapToGrid w:val="0"/>
        </w:rPr>
        <w:t xml:space="preserve">: </w:t>
      </w:r>
      <w:r w:rsidRPr="00A6576A">
        <w:rPr>
          <w:b/>
          <w:lang w:val="en-US"/>
        </w:rPr>
        <w:t xml:space="preserve">When NPRS is indicated </w:t>
      </w:r>
      <w:r w:rsidR="004F06D1">
        <w:rPr>
          <w:b/>
          <w:lang w:val="en-US"/>
        </w:rPr>
        <w:t>only</w:t>
      </w:r>
      <w:r w:rsidR="004F06D1" w:rsidRPr="00C30316">
        <w:rPr>
          <w:b/>
          <w:lang w:val="en-US"/>
        </w:rPr>
        <w:t xml:space="preserve"> </w:t>
      </w:r>
      <w:r w:rsidRPr="00A6576A">
        <w:rPr>
          <w:b/>
          <w:lang w:val="en-US"/>
        </w:rPr>
        <w:t xml:space="preserve">with Part </w:t>
      </w:r>
      <w:r>
        <w:rPr>
          <w:b/>
          <w:lang w:val="en-US"/>
        </w:rPr>
        <w:t>B</w:t>
      </w:r>
      <w:r w:rsidRPr="00A6576A">
        <w:rPr>
          <w:b/>
          <w:lang w:val="en-US"/>
        </w:rPr>
        <w:t>,</w:t>
      </w:r>
      <w:r w:rsidRPr="00A6576A">
        <w:rPr>
          <w:b/>
          <w:snapToGrid w:val="0"/>
        </w:rPr>
        <w:t xml:space="preserve"> if the </w:t>
      </w:r>
      <w:r w:rsidRPr="00C30316">
        <w:rPr>
          <w:b/>
          <w:i/>
          <w:noProof/>
          <w:lang w:val="en-US"/>
        </w:rPr>
        <w:t>n</w:t>
      </w:r>
      <w:r w:rsidRPr="00C30316">
        <w:rPr>
          <w:b/>
          <w:i/>
          <w:snapToGrid w:val="0"/>
        </w:rPr>
        <w:t>prs-SubframeOffset</w:t>
      </w:r>
      <w:r w:rsidRPr="00A6576A">
        <w:rPr>
          <w:b/>
          <w:lang w:val="en-US"/>
        </w:rPr>
        <w:t xml:space="preserve"> fiel</w:t>
      </w:r>
      <w:r w:rsidR="00D563ED">
        <w:rPr>
          <w:b/>
          <w:lang w:val="en-US"/>
        </w:rPr>
        <w:t>d is not present but NPRS is</w:t>
      </w:r>
      <w:r w:rsidRPr="00A6576A">
        <w:rPr>
          <w:b/>
          <w:lang w:val="en-US"/>
        </w:rPr>
        <w:t xml:space="preserve"> available on this neighbour cell, UE shall consider the NPRS </w:t>
      </w:r>
      <w:r w:rsidR="00401DB4">
        <w:rPr>
          <w:b/>
          <w:lang w:val="en-US"/>
        </w:rPr>
        <w:t>subframe</w:t>
      </w:r>
      <w:r w:rsidRPr="00A6576A">
        <w:rPr>
          <w:b/>
          <w:lang w:val="en-US"/>
        </w:rPr>
        <w:t xml:space="preserve"> offset for this neighbour cell to be 0.</w:t>
      </w:r>
    </w:p>
    <w:p w14:paraId="3676FE28" w14:textId="45EC3843" w:rsidR="00184CF3" w:rsidRDefault="00184CF3" w:rsidP="00184CF3">
      <w:pPr>
        <w:pStyle w:val="Heading2"/>
        <w:rPr>
          <w:lang w:val="en-US"/>
        </w:rPr>
      </w:pPr>
      <w:r>
        <w:rPr>
          <w:lang w:val="en-US"/>
        </w:rPr>
        <w:t>NPRS indicated with Part A and Part B</w:t>
      </w:r>
    </w:p>
    <w:p w14:paraId="3BC3EBB4" w14:textId="7B8F264E" w:rsidR="00184CF3" w:rsidRDefault="000409B9" w:rsidP="002D7B39">
      <w:pPr>
        <w:rPr>
          <w:lang w:val="en-US"/>
        </w:rPr>
      </w:pPr>
      <w:r>
        <w:rPr>
          <w:lang w:val="en-US"/>
        </w:rPr>
        <w:t xml:space="preserve">When both Part A and Part B are used to configure </w:t>
      </w:r>
      <w:r w:rsidR="00F4278A">
        <w:rPr>
          <w:lang w:val="en-US"/>
        </w:rPr>
        <w:t>NPRS</w:t>
      </w:r>
      <w:r w:rsidR="00F4278A" w:rsidRPr="00F4278A">
        <w:rPr>
          <w:lang w:val="en-US"/>
        </w:rPr>
        <w:t>, a subframe contains NPRS if both parts of the configuration indicate that the subframe contains NPRS.</w:t>
      </w:r>
      <w:r w:rsidR="00F4278A">
        <w:rPr>
          <w:lang w:val="en-US"/>
        </w:rPr>
        <w:t xml:space="preserve"> </w:t>
      </w:r>
      <w:r w:rsidR="002D7B39">
        <w:rPr>
          <w:lang w:val="en-US"/>
        </w:rPr>
        <w:t xml:space="preserve">Accordingly, </w:t>
      </w:r>
      <w:r w:rsidR="00353890" w:rsidRPr="00353890">
        <w:rPr>
          <w:b/>
          <w:i/>
          <w:lang w:val="en-US"/>
        </w:rPr>
        <w:t>nprs-OccasionOffset</w:t>
      </w:r>
      <w:r w:rsidR="00353890">
        <w:rPr>
          <w:b/>
          <w:lang w:val="en-US"/>
        </w:rPr>
        <w:t xml:space="preserve"> </w:t>
      </w:r>
      <w:r w:rsidR="00353890">
        <w:rPr>
          <w:lang w:val="en-US"/>
        </w:rPr>
        <w:t xml:space="preserve">may be associated with Part A and </w:t>
      </w:r>
      <w:r w:rsidR="00353890" w:rsidRPr="00C30316">
        <w:rPr>
          <w:b/>
          <w:i/>
          <w:noProof/>
          <w:lang w:val="en-US"/>
        </w:rPr>
        <w:t>n</w:t>
      </w:r>
      <w:r w:rsidR="00353890" w:rsidRPr="00C30316">
        <w:rPr>
          <w:b/>
          <w:i/>
          <w:snapToGrid w:val="0"/>
        </w:rPr>
        <w:t>prs-SubframeOffset</w:t>
      </w:r>
      <w:r w:rsidR="00353890">
        <w:rPr>
          <w:b/>
          <w:i/>
          <w:snapToGrid w:val="0"/>
        </w:rPr>
        <w:t xml:space="preserve"> </w:t>
      </w:r>
      <w:r w:rsidR="00353890">
        <w:rPr>
          <w:lang w:val="en-US"/>
        </w:rPr>
        <w:t>may be associated with Part B.</w:t>
      </w:r>
      <w:r w:rsidR="002D7B39">
        <w:rPr>
          <w:lang w:val="en-US"/>
        </w:rPr>
        <w:t xml:space="preserve"> These two parameters together determine the real offset between NPRS transmission of reference cell and NPRS transmission of neighbor cell. This is illustrated in </w:t>
      </w:r>
      <w:r w:rsidR="004C3F0A">
        <w:rPr>
          <w:lang w:val="en-US"/>
        </w:rPr>
        <w:fldChar w:fldCharType="begin"/>
      </w:r>
      <w:r w:rsidR="004C3F0A">
        <w:rPr>
          <w:lang w:val="en-US"/>
        </w:rPr>
        <w:instrText xml:space="preserve"> REF _Ref473552128 \h </w:instrText>
      </w:r>
      <w:r w:rsidR="004C3F0A">
        <w:rPr>
          <w:lang w:val="en-US"/>
        </w:rPr>
      </w:r>
      <w:r w:rsidR="004C3F0A">
        <w:rPr>
          <w:lang w:val="en-US"/>
        </w:rPr>
        <w:fldChar w:fldCharType="separate"/>
      </w:r>
      <w:r w:rsidR="00F01A41">
        <w:t xml:space="preserve">Figure </w:t>
      </w:r>
      <w:r w:rsidR="00F01A41">
        <w:rPr>
          <w:noProof/>
        </w:rPr>
        <w:t>6</w:t>
      </w:r>
      <w:r w:rsidR="004C3F0A">
        <w:rPr>
          <w:lang w:val="en-US"/>
        </w:rPr>
        <w:fldChar w:fldCharType="end"/>
      </w:r>
      <w:r w:rsidR="004C3F0A">
        <w:rPr>
          <w:lang w:val="en-US"/>
        </w:rPr>
        <w:t>.</w:t>
      </w:r>
    </w:p>
    <w:p w14:paraId="285682F4" w14:textId="6D9B96B6" w:rsidR="002D7B39" w:rsidRDefault="004C3F0A" w:rsidP="00486311">
      <w:pPr>
        <w:jc w:val="center"/>
        <w:rPr>
          <w:lang w:val="en-US"/>
        </w:rPr>
      </w:pPr>
      <w:r>
        <w:rPr>
          <w:noProof/>
          <w:lang w:val="en-US"/>
        </w:rPr>
        <w:lastRenderedPageBreak/>
        <w:drawing>
          <wp:inline distT="0" distB="0" distL="0" distR="0" wp14:anchorId="04F1AC45" wp14:editId="5493B445">
            <wp:extent cx="4833257" cy="2132556"/>
            <wp:effectExtent l="0" t="0" r="5715"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42292" cy="2136542"/>
                    </a:xfrm>
                    <a:prstGeom prst="rect">
                      <a:avLst/>
                    </a:prstGeom>
                  </pic:spPr>
                </pic:pic>
              </a:graphicData>
            </a:graphic>
          </wp:inline>
        </w:drawing>
      </w:r>
    </w:p>
    <w:p w14:paraId="6562B1AB" w14:textId="074320B7" w:rsidR="00184CF3" w:rsidRPr="004C3F0A" w:rsidRDefault="002D7B39" w:rsidP="004C3F0A">
      <w:pPr>
        <w:pStyle w:val="Caption"/>
      </w:pPr>
      <w:bookmarkStart w:id="7" w:name="_Ref473552128"/>
      <w:r>
        <w:t xml:space="preserve">Figure </w:t>
      </w:r>
      <w:r>
        <w:fldChar w:fldCharType="begin"/>
      </w:r>
      <w:r>
        <w:instrText xml:space="preserve"> SEQ Figure \* ARABIC </w:instrText>
      </w:r>
      <w:r>
        <w:fldChar w:fldCharType="separate"/>
      </w:r>
      <w:r w:rsidR="00F01A41">
        <w:rPr>
          <w:noProof/>
        </w:rPr>
        <w:t>6</w:t>
      </w:r>
      <w:r>
        <w:fldChar w:fldCharType="end"/>
      </w:r>
      <w:bookmarkEnd w:id="7"/>
      <w:r>
        <w:t xml:space="preserve">: </w:t>
      </w:r>
      <w:r w:rsidR="006661E5" w:rsidRPr="00236DDC">
        <w:t xml:space="preserve">Neighbour cell </w:t>
      </w:r>
      <w:r w:rsidR="006661E5">
        <w:t xml:space="preserve">NPRS position determination with </w:t>
      </w:r>
      <w:r w:rsidR="006661E5" w:rsidRPr="006661E5">
        <w:rPr>
          <w:i/>
        </w:rPr>
        <w:t>nprs-OccasionOffset</w:t>
      </w:r>
      <w:r w:rsidR="006661E5">
        <w:t xml:space="preserve"> and </w:t>
      </w:r>
      <w:r w:rsidR="006661E5" w:rsidRPr="00C30316">
        <w:rPr>
          <w:i/>
          <w:noProof/>
          <w:lang w:val="en-US"/>
        </w:rPr>
        <w:t>n</w:t>
      </w:r>
      <w:r w:rsidR="006661E5" w:rsidRPr="00C30316">
        <w:rPr>
          <w:i/>
          <w:snapToGrid w:val="0"/>
        </w:rPr>
        <w:t>prs-SubframeOffset</w:t>
      </w:r>
    </w:p>
    <w:p w14:paraId="69604CDC" w14:textId="7A72F937" w:rsidR="00055FB3" w:rsidRPr="00E330BC" w:rsidRDefault="00055FB3" w:rsidP="00055FB3">
      <w:pPr>
        <w:pStyle w:val="Heading1"/>
      </w:pPr>
      <w:r>
        <w:t>Conclusions</w:t>
      </w:r>
    </w:p>
    <w:p w14:paraId="1C6EB1F9" w14:textId="270546EA" w:rsidR="006D203B" w:rsidRPr="00CE63C2" w:rsidRDefault="00511F61" w:rsidP="00055FB3">
      <w:pPr>
        <w:pStyle w:val="BodyText"/>
      </w:pPr>
      <w:r w:rsidRPr="00CE63C2">
        <w:t>In this contribution, we have</w:t>
      </w:r>
      <w:r w:rsidR="00D72482" w:rsidRPr="00CE63C2">
        <w:t xml:space="preserve"> discussed about</w:t>
      </w:r>
      <w:r w:rsidRPr="00CE63C2">
        <w:t xml:space="preserve"> </w:t>
      </w:r>
      <w:r w:rsidR="00D72482" w:rsidRPr="00CE63C2">
        <w:rPr>
          <w:rFonts w:cs="Arial"/>
          <w:bCs/>
          <w:lang w:val="en-US"/>
        </w:rPr>
        <w:t xml:space="preserve">how to determine </w:t>
      </w:r>
      <w:r w:rsidR="00D72482" w:rsidRPr="00CE63C2">
        <w:rPr>
          <w:rFonts w:eastAsia="MS Mincho"/>
          <w:lang w:val="en-US" w:eastAsia="ja-JP"/>
        </w:rPr>
        <w:t>the neighbour cell NPRS position</w:t>
      </w:r>
      <w:r w:rsidR="00D72482" w:rsidRPr="00CE63C2">
        <w:t xml:space="preserve"> </w:t>
      </w:r>
      <w:r w:rsidR="00DD53F7" w:rsidRPr="00CE63C2">
        <w:t>and made the following observations.</w:t>
      </w:r>
    </w:p>
    <w:p w14:paraId="174A14D4" w14:textId="77777777" w:rsidR="00D72482" w:rsidRPr="00CE63C2" w:rsidRDefault="00D72482" w:rsidP="00D72482">
      <w:pPr>
        <w:rPr>
          <w:b/>
          <w:noProof/>
          <w:lang w:val="en-US"/>
        </w:rPr>
      </w:pPr>
      <w:r w:rsidRPr="00CE63C2">
        <w:rPr>
          <w:b/>
          <w:noProof/>
          <w:lang w:val="en-US"/>
        </w:rPr>
        <w:t>Observation 1: In the existing LPP for LTE OTDOA, the PRS positions of the neighbour cells can be derived without the knowledge of neighbour cells’ SFNs.</w:t>
      </w:r>
    </w:p>
    <w:p w14:paraId="123D7EE4" w14:textId="1F69DD91" w:rsidR="000A4CE0" w:rsidRPr="00CE63C2" w:rsidRDefault="00D72482" w:rsidP="00D72482">
      <w:pPr>
        <w:rPr>
          <w:b/>
          <w:noProof/>
          <w:lang w:val="en-US"/>
        </w:rPr>
      </w:pPr>
      <w:r w:rsidRPr="00CE63C2">
        <w:rPr>
          <w:b/>
          <w:noProof/>
          <w:lang w:val="en-US"/>
        </w:rPr>
        <w:t>Observation 2: The existing LPP for LTE OTDOA does not limit the potential of SFN and/or slot planning for LTE cells.</w:t>
      </w:r>
    </w:p>
    <w:p w14:paraId="1D6E8A75" w14:textId="0746EA33" w:rsidR="00402D1F" w:rsidRPr="00CE63C2" w:rsidRDefault="00DD53F7" w:rsidP="00055FB3">
      <w:pPr>
        <w:pStyle w:val="BodyText"/>
      </w:pPr>
      <w:r w:rsidRPr="00CE63C2">
        <w:t>Based on the analysis</w:t>
      </w:r>
      <w:r w:rsidR="006E7D3A" w:rsidRPr="00CE63C2">
        <w:t xml:space="preserve"> and observations</w:t>
      </w:r>
      <w:r w:rsidRPr="00CE63C2">
        <w:t xml:space="preserve">, we </w:t>
      </w:r>
      <w:r w:rsidR="006E7D3A" w:rsidRPr="00CE63C2">
        <w:t>make the following</w:t>
      </w:r>
      <w:r w:rsidRPr="00CE63C2">
        <w:t xml:space="preserve"> proposal</w:t>
      </w:r>
      <w:r w:rsidR="000A4CE0" w:rsidRPr="00CE63C2">
        <w:t>s</w:t>
      </w:r>
      <w:r w:rsidRPr="00CE63C2">
        <w:t xml:space="preserve">. </w:t>
      </w:r>
    </w:p>
    <w:p w14:paraId="3B1BF25B" w14:textId="39ABD328" w:rsidR="00D72482" w:rsidRPr="00CE63C2" w:rsidRDefault="00D72482" w:rsidP="00D72482">
      <w:pPr>
        <w:rPr>
          <w:b/>
          <w:snapToGrid w:val="0"/>
        </w:rPr>
      </w:pPr>
      <w:r w:rsidRPr="00CE63C2">
        <w:rPr>
          <w:b/>
          <w:lang w:val="en-US"/>
        </w:rPr>
        <w:t xml:space="preserve">Proposal 1: When NPRS is indicated </w:t>
      </w:r>
      <w:r w:rsidR="00307986">
        <w:rPr>
          <w:b/>
          <w:lang w:val="en-US"/>
        </w:rPr>
        <w:t xml:space="preserve">only </w:t>
      </w:r>
      <w:r w:rsidRPr="00CE63C2">
        <w:rPr>
          <w:b/>
          <w:lang w:val="en-US"/>
        </w:rPr>
        <w:t>with Part A, to</w:t>
      </w:r>
      <w:r w:rsidRPr="00CE63C2">
        <w:rPr>
          <w:b/>
          <w:noProof/>
          <w:lang w:val="en-US"/>
        </w:rPr>
        <w:t xml:space="preserve"> </w:t>
      </w:r>
      <w:r w:rsidRPr="00CE63C2">
        <w:rPr>
          <w:b/>
          <w:snapToGrid w:val="0"/>
        </w:rPr>
        <w:t xml:space="preserve">determine the NPRS occasion </w:t>
      </w:r>
      <w:r w:rsidRPr="00CE63C2">
        <w:rPr>
          <w:b/>
          <w:noProof/>
          <w:lang w:val="en-US"/>
        </w:rPr>
        <w:t xml:space="preserve">positions of the neighbour cells, </w:t>
      </w:r>
      <w:r w:rsidRPr="00CE63C2">
        <w:rPr>
          <w:b/>
          <w:i/>
          <w:lang w:val="en-US"/>
        </w:rPr>
        <w:t>nprs-OccasionOffset</w:t>
      </w:r>
      <w:r w:rsidRPr="00CE63C2">
        <w:rPr>
          <w:b/>
          <w:lang w:val="en-US"/>
        </w:rPr>
        <w:t>,</w:t>
      </w:r>
      <w:r w:rsidRPr="00CE63C2">
        <w:rPr>
          <w:b/>
          <w:i/>
          <w:snapToGrid w:val="0"/>
        </w:rPr>
        <w:t xml:space="preserve"> </w:t>
      </w:r>
      <w:r w:rsidRPr="00CE63C2">
        <w:rPr>
          <w:b/>
          <w:snapToGrid w:val="0"/>
        </w:rPr>
        <w:t>which specifies the offset between the NPRS occasion in reference cell and the closest subsequent NPRS positioning occasion of the neighbour cell, may be optionally included as part of neighbour cell information.</w:t>
      </w:r>
    </w:p>
    <w:p w14:paraId="6B3C9136" w14:textId="77777777" w:rsidR="00D72482" w:rsidRPr="00CE63C2" w:rsidRDefault="00D72482" w:rsidP="00D72482">
      <w:pPr>
        <w:pStyle w:val="ListParagraph"/>
        <w:numPr>
          <w:ilvl w:val="0"/>
          <w:numId w:val="43"/>
        </w:numPr>
        <w:rPr>
          <w:b/>
          <w:snapToGrid w:val="0"/>
        </w:rPr>
      </w:pPr>
      <w:r w:rsidRPr="00CE63C2">
        <w:rPr>
          <w:b/>
          <w:i/>
          <w:lang w:val="en-US"/>
        </w:rPr>
        <w:t>nprs-OccasionOffset</w:t>
      </w:r>
      <w:r w:rsidRPr="00CE63C2">
        <w:rPr>
          <w:b/>
          <w:lang w:val="en-US"/>
        </w:rPr>
        <w:t xml:space="preserve">: </w:t>
      </w:r>
      <w:r w:rsidRPr="00CE63C2">
        <w:rPr>
          <w:b/>
          <w:snapToGrid w:val="0"/>
        </w:rPr>
        <w:t>INTEGER (0..39) subframes</w:t>
      </w:r>
    </w:p>
    <w:p w14:paraId="25F70C94" w14:textId="56AAB6C7" w:rsidR="00D72482" w:rsidRPr="00CE63C2" w:rsidRDefault="00D72482" w:rsidP="00D72482">
      <w:pPr>
        <w:rPr>
          <w:b/>
          <w:snapToGrid w:val="0"/>
        </w:rPr>
      </w:pPr>
      <w:r w:rsidRPr="00CE63C2">
        <w:rPr>
          <w:b/>
          <w:snapToGrid w:val="0"/>
        </w:rPr>
        <w:t xml:space="preserve">Proposal 2: </w:t>
      </w:r>
      <w:r w:rsidRPr="00CE63C2">
        <w:rPr>
          <w:b/>
          <w:lang w:val="en-US"/>
        </w:rPr>
        <w:t xml:space="preserve">When NPRS is indicated </w:t>
      </w:r>
      <w:r w:rsidR="00307986">
        <w:rPr>
          <w:b/>
          <w:lang w:val="en-US"/>
        </w:rPr>
        <w:t xml:space="preserve">only </w:t>
      </w:r>
      <w:r w:rsidRPr="00CE63C2">
        <w:rPr>
          <w:b/>
          <w:lang w:val="en-US"/>
        </w:rPr>
        <w:t>with Part A,</w:t>
      </w:r>
      <w:r w:rsidRPr="00CE63C2">
        <w:rPr>
          <w:b/>
          <w:snapToGrid w:val="0"/>
        </w:rPr>
        <w:t xml:space="preserve"> if the </w:t>
      </w:r>
      <w:r w:rsidRPr="00CE63C2">
        <w:rPr>
          <w:b/>
          <w:i/>
          <w:lang w:val="en-US"/>
        </w:rPr>
        <w:t>nprs-OccasionOffset</w:t>
      </w:r>
      <w:r w:rsidRPr="00CE63C2">
        <w:rPr>
          <w:b/>
          <w:lang w:val="en-US"/>
        </w:rPr>
        <w:t xml:space="preserve"> field is not present but NPRS is available on this neighbour cell, UE shall consider the NPRS occasion offset for this neighbour cell to be 0.</w:t>
      </w:r>
    </w:p>
    <w:p w14:paraId="611CBD61" w14:textId="10263B96" w:rsidR="00D72482" w:rsidRPr="00CE63C2" w:rsidRDefault="00D72482" w:rsidP="00D72482">
      <w:pPr>
        <w:rPr>
          <w:b/>
          <w:snapToGrid w:val="0"/>
        </w:rPr>
      </w:pPr>
      <w:r w:rsidRPr="00CE63C2">
        <w:rPr>
          <w:b/>
          <w:lang w:val="en-US"/>
        </w:rPr>
        <w:t>Proposal 3: When NPRS is indicated</w:t>
      </w:r>
      <w:r w:rsidR="00307986">
        <w:rPr>
          <w:b/>
          <w:lang w:val="en-US"/>
        </w:rPr>
        <w:t xml:space="preserve"> only</w:t>
      </w:r>
      <w:r w:rsidRPr="00CE63C2">
        <w:rPr>
          <w:b/>
          <w:lang w:val="en-US"/>
        </w:rPr>
        <w:t xml:space="preserve"> with Part B, to</w:t>
      </w:r>
      <w:r w:rsidRPr="00CE63C2">
        <w:rPr>
          <w:b/>
          <w:noProof/>
          <w:lang w:val="en-US"/>
        </w:rPr>
        <w:t xml:space="preserve"> </w:t>
      </w:r>
      <w:r w:rsidRPr="00CE63C2">
        <w:rPr>
          <w:b/>
          <w:snapToGrid w:val="0"/>
        </w:rPr>
        <w:t xml:space="preserve">determine the NPRS occasion </w:t>
      </w:r>
      <w:r w:rsidRPr="00CE63C2">
        <w:rPr>
          <w:b/>
          <w:noProof/>
          <w:lang w:val="en-US"/>
        </w:rPr>
        <w:t xml:space="preserve">positions of the neighbour cells, </w:t>
      </w:r>
      <w:r w:rsidRPr="00CE63C2">
        <w:rPr>
          <w:b/>
          <w:i/>
          <w:noProof/>
          <w:lang w:val="en-US"/>
        </w:rPr>
        <w:t>n</w:t>
      </w:r>
      <w:r w:rsidRPr="00CE63C2">
        <w:rPr>
          <w:b/>
          <w:i/>
          <w:snapToGrid w:val="0"/>
        </w:rPr>
        <w:t>prs-SubframeOffset</w:t>
      </w:r>
      <w:r w:rsidRPr="00CE63C2">
        <w:rPr>
          <w:b/>
          <w:lang w:val="en-US"/>
        </w:rPr>
        <w:t>,</w:t>
      </w:r>
      <w:r w:rsidRPr="00CE63C2">
        <w:rPr>
          <w:b/>
          <w:i/>
          <w:snapToGrid w:val="0"/>
        </w:rPr>
        <w:t xml:space="preserve"> </w:t>
      </w:r>
      <w:r w:rsidRPr="00CE63C2">
        <w:rPr>
          <w:b/>
          <w:snapToGrid w:val="0"/>
        </w:rPr>
        <w:t>which specifies the offset between the first PRS subframe in reference cell and the first PRS subframe in the closest subsequent PRS positioning occasion of the neighbour cell, may be optionally included as part of neighbour cell information.</w:t>
      </w:r>
    </w:p>
    <w:p w14:paraId="269A20C2" w14:textId="77777777" w:rsidR="00D72482" w:rsidRPr="00CE63C2" w:rsidRDefault="00D72482" w:rsidP="00D72482">
      <w:pPr>
        <w:pStyle w:val="ListParagraph"/>
        <w:numPr>
          <w:ilvl w:val="0"/>
          <w:numId w:val="43"/>
        </w:numPr>
        <w:rPr>
          <w:b/>
          <w:snapToGrid w:val="0"/>
        </w:rPr>
      </w:pPr>
      <w:r w:rsidRPr="00CE63C2">
        <w:rPr>
          <w:b/>
          <w:i/>
          <w:noProof/>
          <w:lang w:val="en-US"/>
        </w:rPr>
        <w:t>n</w:t>
      </w:r>
      <w:r w:rsidRPr="00CE63C2">
        <w:rPr>
          <w:b/>
          <w:i/>
          <w:snapToGrid w:val="0"/>
        </w:rPr>
        <w:t xml:space="preserve">prs-SubframeOffset: </w:t>
      </w:r>
      <w:r w:rsidRPr="00CE63C2">
        <w:rPr>
          <w:b/>
          <w:snapToGrid w:val="0"/>
        </w:rPr>
        <w:t>INTEGER (0…1279) subframes</w:t>
      </w:r>
    </w:p>
    <w:p w14:paraId="40C35601" w14:textId="77777777" w:rsidR="00D72482" w:rsidRPr="00CE63C2" w:rsidRDefault="00D72482" w:rsidP="00D72482">
      <w:pPr>
        <w:pStyle w:val="ListParagraph"/>
        <w:numPr>
          <w:ilvl w:val="0"/>
          <w:numId w:val="43"/>
        </w:numPr>
        <w:rPr>
          <w:b/>
          <w:snapToGrid w:val="0"/>
        </w:rPr>
      </w:pPr>
      <w:r w:rsidRPr="00CE63C2">
        <w:rPr>
          <w:b/>
          <w:i/>
          <w:noProof/>
          <w:lang w:val="en-US"/>
        </w:rPr>
        <w:t>n</w:t>
      </w:r>
      <w:r w:rsidRPr="00CE63C2">
        <w:rPr>
          <w:b/>
          <w:i/>
          <w:snapToGrid w:val="0"/>
        </w:rPr>
        <w:t xml:space="preserve">prs-SubframeOffset </w:t>
      </w:r>
      <w:r w:rsidRPr="00CE63C2">
        <w:rPr>
          <w:b/>
          <w:snapToGrid w:val="0"/>
        </w:rPr>
        <w:t xml:space="preserve">is used both when </w:t>
      </w:r>
      <w:r w:rsidRPr="00CE63C2">
        <w:rPr>
          <w:b/>
          <w:noProof/>
          <w:lang w:val="en-US"/>
        </w:rPr>
        <w:t>the reference cell and a neighbor cell are on the different frequency layers and when the reference cell and a neighbor cell are on the same frequency layer.</w:t>
      </w:r>
    </w:p>
    <w:p w14:paraId="636ACB15" w14:textId="401D4EE2" w:rsidR="00DD53F7" w:rsidRPr="00D72482" w:rsidRDefault="00D72482" w:rsidP="00D72482">
      <w:pPr>
        <w:rPr>
          <w:b/>
          <w:snapToGrid w:val="0"/>
        </w:rPr>
      </w:pPr>
      <w:r w:rsidRPr="00CE63C2">
        <w:rPr>
          <w:b/>
          <w:snapToGrid w:val="0"/>
        </w:rPr>
        <w:t xml:space="preserve">Proposal 4: </w:t>
      </w:r>
      <w:r w:rsidRPr="00CE63C2">
        <w:rPr>
          <w:b/>
          <w:lang w:val="en-US"/>
        </w:rPr>
        <w:t>When NPRS is indicated</w:t>
      </w:r>
      <w:r w:rsidR="00307986">
        <w:rPr>
          <w:b/>
          <w:lang w:val="en-US"/>
        </w:rPr>
        <w:t xml:space="preserve"> only</w:t>
      </w:r>
      <w:r w:rsidRPr="00CE63C2">
        <w:rPr>
          <w:b/>
          <w:lang w:val="en-US"/>
        </w:rPr>
        <w:t xml:space="preserve"> with Part B,</w:t>
      </w:r>
      <w:r w:rsidRPr="00CE63C2">
        <w:rPr>
          <w:b/>
          <w:snapToGrid w:val="0"/>
        </w:rPr>
        <w:t xml:space="preserve"> if the </w:t>
      </w:r>
      <w:r w:rsidRPr="00CE63C2">
        <w:rPr>
          <w:b/>
          <w:i/>
          <w:noProof/>
          <w:lang w:val="en-US"/>
        </w:rPr>
        <w:t>n</w:t>
      </w:r>
      <w:r w:rsidRPr="00CE63C2">
        <w:rPr>
          <w:b/>
          <w:i/>
          <w:snapToGrid w:val="0"/>
        </w:rPr>
        <w:t>prs-SubframeOffset</w:t>
      </w:r>
      <w:r w:rsidRPr="00CE63C2">
        <w:rPr>
          <w:b/>
          <w:lang w:val="en-US"/>
        </w:rPr>
        <w:t xml:space="preserve"> field is not present but NPRS is available on this neighbour cell, UE shall consider the NPRS subframe offset for this neighbour cell to be 0.</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3980C89D" w14:textId="3CF61F1F" w:rsidR="004A2087" w:rsidRPr="00A84D06" w:rsidRDefault="00063883" w:rsidP="00A84D06">
      <w:pPr>
        <w:pStyle w:val="Reference"/>
        <w:numPr>
          <w:ilvl w:val="0"/>
          <w:numId w:val="1"/>
        </w:numPr>
        <w:overflowPunct/>
        <w:autoSpaceDE/>
        <w:autoSpaceDN/>
        <w:adjustRightInd/>
        <w:spacing w:after="200" w:line="276" w:lineRule="auto"/>
        <w:jc w:val="left"/>
        <w:textAlignment w:val="auto"/>
        <w:rPr>
          <w:rFonts w:cs="Arial"/>
        </w:rPr>
      </w:pPr>
      <w:bookmarkStart w:id="8"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source</w:t>
      </w:r>
      <w:r w:rsidR="006C4E5E">
        <w:rPr>
          <w:lang w:val="en-US"/>
        </w:rPr>
        <w:t xml:space="preserve"> Huawei, HiSilicon</w:t>
      </w:r>
      <w:r>
        <w:rPr>
          <w:lang w:val="en-US"/>
        </w:rPr>
        <w:t xml:space="preserve">, </w:t>
      </w:r>
      <w:r w:rsidRPr="00063883">
        <w:rPr>
          <w:lang w:val="en-US"/>
        </w:rPr>
        <w:t>19</w:t>
      </w:r>
      <w:r>
        <w:rPr>
          <w:lang w:val="en-US"/>
        </w:rPr>
        <w:t xml:space="preserve"> – </w:t>
      </w:r>
      <w:r w:rsidRPr="00063883">
        <w:rPr>
          <w:lang w:val="en-US"/>
        </w:rPr>
        <w:t>22</w:t>
      </w:r>
      <w:r w:rsidR="00533EC6">
        <w:rPr>
          <w:lang w:val="en-US"/>
        </w:rPr>
        <w:t xml:space="preserve"> </w:t>
      </w:r>
      <w:r w:rsidRPr="00063883">
        <w:rPr>
          <w:lang w:val="en-US"/>
        </w:rPr>
        <w:t>September</w:t>
      </w:r>
      <w:r w:rsidRPr="00B52E70">
        <w:rPr>
          <w:lang w:val="en-US"/>
        </w:rPr>
        <w:t>, 2016</w:t>
      </w:r>
      <w:r>
        <w:rPr>
          <w:lang w:val="en-US"/>
        </w:rPr>
        <w:t>.</w:t>
      </w:r>
      <w:bookmarkEnd w:id="8"/>
    </w:p>
    <w:p w14:paraId="3977958E" w14:textId="1D4ADA71" w:rsidR="00FC6BC0" w:rsidRPr="00D72482" w:rsidRDefault="00235CEC" w:rsidP="00235CEC">
      <w:pPr>
        <w:pStyle w:val="Reference"/>
        <w:numPr>
          <w:ilvl w:val="0"/>
          <w:numId w:val="1"/>
        </w:numPr>
        <w:overflowPunct/>
        <w:autoSpaceDE/>
        <w:autoSpaceDN/>
        <w:adjustRightInd/>
        <w:spacing w:after="200" w:line="276" w:lineRule="auto"/>
        <w:jc w:val="left"/>
        <w:textAlignment w:val="auto"/>
        <w:rPr>
          <w:rFonts w:cs="Arial"/>
        </w:rPr>
      </w:pPr>
      <w:bookmarkStart w:id="9" w:name="_Ref471305097"/>
      <w:r w:rsidRPr="00D72482">
        <w:rPr>
          <w:rFonts w:cs="Arial"/>
        </w:rPr>
        <w:t xml:space="preserve">TS </w:t>
      </w:r>
      <w:r w:rsidR="00FC6BC0" w:rsidRPr="00D72482">
        <w:rPr>
          <w:rFonts w:cs="Arial"/>
        </w:rPr>
        <w:t>36.355</w:t>
      </w:r>
      <w:bookmarkEnd w:id="9"/>
      <w:r w:rsidRPr="00D72482">
        <w:rPr>
          <w:rFonts w:cs="Arial"/>
        </w:rPr>
        <w:t>, “Evolved Universal Terrestrial Radio Access (E-UTRA); LTE Positioning Protocol (LPP),” V14.0.0.</w:t>
      </w:r>
    </w:p>
    <w:sectPr w:rsidR="00FC6BC0" w:rsidRPr="00D72482" w:rsidSect="003B5666">
      <w:headerReference w:type="default" r:id="rId16"/>
      <w:footerReference w:type="default" r:id="rId17"/>
      <w:headerReference w:type="first" r:id="rId18"/>
      <w:footerReference w:type="first" r:id="rId19"/>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DA002F" w14:textId="77777777" w:rsidR="00317A86" w:rsidRDefault="00317A86">
      <w:pPr>
        <w:spacing w:after="0"/>
      </w:pPr>
      <w:r>
        <w:separator/>
      </w:r>
    </w:p>
  </w:endnote>
  <w:endnote w:type="continuationSeparator" w:id="0">
    <w:p w14:paraId="50D2840F" w14:textId="77777777" w:rsidR="00317A86" w:rsidRDefault="00317A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06C02EFD" w:rsidR="00913E26" w:rsidRDefault="00913E26">
    <w:pPr>
      <w:pStyle w:val="Footer"/>
      <w:ind w:right="-1521"/>
    </w:pPr>
    <w:r>
      <w:rPr>
        <w:rStyle w:val="PageNumber"/>
      </w:rPr>
      <w:fldChar w:fldCharType="begin"/>
    </w:r>
    <w:r>
      <w:rPr>
        <w:rStyle w:val="PageNumber"/>
      </w:rPr>
      <w:instrText xml:space="preserve"> PAGE </w:instrText>
    </w:r>
    <w:r>
      <w:rPr>
        <w:rStyle w:val="PageNumber"/>
      </w:rPr>
      <w:fldChar w:fldCharType="separate"/>
    </w:r>
    <w:r w:rsidR="00486311">
      <w:rPr>
        <w:rStyle w:val="PageNumber"/>
      </w:rPr>
      <w:t>4</w:t>
    </w:r>
    <w:r>
      <w:rPr>
        <w:rStyle w:val="PageNumber"/>
      </w:rPr>
      <w:fldChar w:fldCharType="end"/>
    </w:r>
    <w:bookmarkStart w:id="1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6311">
      <w:rPr>
        <w:rStyle w:val="PageNumber"/>
      </w:rPr>
      <w:t>5</w:t>
    </w:r>
    <w:r>
      <w:rPr>
        <w:rStyle w:val="PageNumber"/>
      </w:rPr>
      <w:fldChar w:fldCharType="end"/>
    </w:r>
    <w:r>
      <w:rPr>
        <w:rStyle w:val="PageNumber"/>
      </w:rPr>
      <w:t>)</w:t>
    </w:r>
    <w:bookmarkEnd w:id="1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3671E038" w:rsidR="00913E26" w:rsidRDefault="00913E26">
    <w:pPr>
      <w:pStyle w:val="Footer"/>
    </w:pPr>
    <w:r>
      <w:rPr>
        <w:rStyle w:val="PageNumber"/>
      </w:rPr>
      <w:fldChar w:fldCharType="begin"/>
    </w:r>
    <w:r>
      <w:rPr>
        <w:rStyle w:val="PageNumber"/>
      </w:rPr>
      <w:instrText xml:space="preserve"> PAGE </w:instrText>
    </w:r>
    <w:r>
      <w:rPr>
        <w:rStyle w:val="PageNumber"/>
      </w:rPr>
      <w:fldChar w:fldCharType="separate"/>
    </w:r>
    <w:r w:rsidR="004863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6311">
      <w:rPr>
        <w:rStyle w:val="PageNumber"/>
      </w:rPr>
      <w:t>5</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771BC" w14:textId="77777777" w:rsidR="00317A86" w:rsidRDefault="00317A86">
      <w:pPr>
        <w:spacing w:after="0"/>
      </w:pPr>
      <w:r>
        <w:separator/>
      </w:r>
    </w:p>
  </w:footnote>
  <w:footnote w:type="continuationSeparator" w:id="0">
    <w:p w14:paraId="419D97FA" w14:textId="77777777" w:rsidR="00317A86" w:rsidRDefault="00317A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913E26" w:rsidRPr="006A0FC7" w:rsidRDefault="00913E26"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913E26" w:rsidRPr="00BF30DA" w:rsidRDefault="00913E26"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A7C64"/>
    <w:multiLevelType w:val="hybridMultilevel"/>
    <w:tmpl w:val="0B62EE40"/>
    <w:lvl w:ilvl="0" w:tplc="5D8E90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7" w15:restartNumberingAfterBreak="0">
    <w:nsid w:val="219E5F7A"/>
    <w:multiLevelType w:val="hybridMultilevel"/>
    <w:tmpl w:val="0F348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A2B5C"/>
    <w:multiLevelType w:val="hybridMultilevel"/>
    <w:tmpl w:val="529A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3543EB"/>
    <w:multiLevelType w:val="hybridMultilevel"/>
    <w:tmpl w:val="94E6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7F79BD"/>
    <w:multiLevelType w:val="hybridMultilevel"/>
    <w:tmpl w:val="3C1A2010"/>
    <w:lvl w:ilvl="0" w:tplc="62085BA2">
      <w:start w:val="1"/>
      <w:numFmt w:val="bullet"/>
      <w:lvlText w:val="•"/>
      <w:lvlJc w:val="left"/>
      <w:pPr>
        <w:tabs>
          <w:tab w:val="num" w:pos="720"/>
        </w:tabs>
        <w:ind w:left="720" w:hanging="360"/>
      </w:pPr>
      <w:rPr>
        <w:rFonts w:ascii="Arial" w:hAnsi="Arial" w:hint="default"/>
      </w:rPr>
    </w:lvl>
    <w:lvl w:ilvl="1" w:tplc="A7CCD698">
      <w:numFmt w:val="bullet"/>
      <w:lvlText w:val="•"/>
      <w:lvlJc w:val="left"/>
      <w:pPr>
        <w:tabs>
          <w:tab w:val="num" w:pos="1440"/>
        </w:tabs>
        <w:ind w:left="1440" w:hanging="360"/>
      </w:pPr>
      <w:rPr>
        <w:rFonts w:ascii="Arial" w:hAnsi="Arial" w:hint="default"/>
      </w:rPr>
    </w:lvl>
    <w:lvl w:ilvl="2" w:tplc="329A8A88">
      <w:numFmt w:val="bullet"/>
      <w:lvlText w:val="•"/>
      <w:lvlJc w:val="left"/>
      <w:pPr>
        <w:tabs>
          <w:tab w:val="num" w:pos="2160"/>
        </w:tabs>
        <w:ind w:left="2160" w:hanging="360"/>
      </w:pPr>
      <w:rPr>
        <w:rFonts w:ascii="Arial" w:hAnsi="Arial" w:hint="default"/>
      </w:rPr>
    </w:lvl>
    <w:lvl w:ilvl="3" w:tplc="051C85CE">
      <w:numFmt w:val="bullet"/>
      <w:lvlText w:val="•"/>
      <w:lvlJc w:val="left"/>
      <w:pPr>
        <w:tabs>
          <w:tab w:val="num" w:pos="2880"/>
        </w:tabs>
        <w:ind w:left="2880" w:hanging="360"/>
      </w:pPr>
      <w:rPr>
        <w:rFonts w:ascii="Arial" w:hAnsi="Arial" w:hint="default"/>
      </w:rPr>
    </w:lvl>
    <w:lvl w:ilvl="4" w:tplc="90DCCE5A">
      <w:numFmt w:val="bullet"/>
      <w:lvlText w:val="•"/>
      <w:lvlJc w:val="left"/>
      <w:pPr>
        <w:tabs>
          <w:tab w:val="num" w:pos="3600"/>
        </w:tabs>
        <w:ind w:left="3600" w:hanging="360"/>
      </w:pPr>
      <w:rPr>
        <w:rFonts w:ascii="Arial" w:hAnsi="Arial" w:hint="default"/>
      </w:rPr>
    </w:lvl>
    <w:lvl w:ilvl="5" w:tplc="E132E95A" w:tentative="1">
      <w:start w:val="1"/>
      <w:numFmt w:val="bullet"/>
      <w:lvlText w:val="•"/>
      <w:lvlJc w:val="left"/>
      <w:pPr>
        <w:tabs>
          <w:tab w:val="num" w:pos="4320"/>
        </w:tabs>
        <w:ind w:left="4320" w:hanging="360"/>
      </w:pPr>
      <w:rPr>
        <w:rFonts w:ascii="Arial" w:hAnsi="Arial" w:hint="default"/>
      </w:rPr>
    </w:lvl>
    <w:lvl w:ilvl="6" w:tplc="A6627C46" w:tentative="1">
      <w:start w:val="1"/>
      <w:numFmt w:val="bullet"/>
      <w:lvlText w:val="•"/>
      <w:lvlJc w:val="left"/>
      <w:pPr>
        <w:tabs>
          <w:tab w:val="num" w:pos="5040"/>
        </w:tabs>
        <w:ind w:left="5040" w:hanging="360"/>
      </w:pPr>
      <w:rPr>
        <w:rFonts w:ascii="Arial" w:hAnsi="Arial" w:hint="default"/>
      </w:rPr>
    </w:lvl>
    <w:lvl w:ilvl="7" w:tplc="F4BED156" w:tentative="1">
      <w:start w:val="1"/>
      <w:numFmt w:val="bullet"/>
      <w:lvlText w:val="•"/>
      <w:lvlJc w:val="left"/>
      <w:pPr>
        <w:tabs>
          <w:tab w:val="num" w:pos="5760"/>
        </w:tabs>
        <w:ind w:left="5760" w:hanging="360"/>
      </w:pPr>
      <w:rPr>
        <w:rFonts w:ascii="Arial" w:hAnsi="Arial" w:hint="default"/>
      </w:rPr>
    </w:lvl>
    <w:lvl w:ilvl="8" w:tplc="8480AA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795F44"/>
    <w:multiLevelType w:val="hybridMultilevel"/>
    <w:tmpl w:val="0382F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472BE"/>
    <w:multiLevelType w:val="hybridMultilevel"/>
    <w:tmpl w:val="6E9CB4BC"/>
    <w:lvl w:ilvl="0" w:tplc="3BE2D036">
      <w:start w:val="1"/>
      <w:numFmt w:val="bullet"/>
      <w:lvlText w:val="•"/>
      <w:lvlJc w:val="left"/>
      <w:pPr>
        <w:tabs>
          <w:tab w:val="num" w:pos="720"/>
        </w:tabs>
        <w:ind w:left="720" w:hanging="360"/>
      </w:pPr>
      <w:rPr>
        <w:rFonts w:ascii="Arial" w:hAnsi="Arial" w:hint="default"/>
      </w:rPr>
    </w:lvl>
    <w:lvl w:ilvl="1" w:tplc="4FDC39F6">
      <w:start w:val="42"/>
      <w:numFmt w:val="bullet"/>
      <w:lvlText w:val="–"/>
      <w:lvlJc w:val="left"/>
      <w:pPr>
        <w:tabs>
          <w:tab w:val="num" w:pos="1440"/>
        </w:tabs>
        <w:ind w:left="1440" w:hanging="360"/>
      </w:pPr>
      <w:rPr>
        <w:rFonts w:ascii="Arial" w:hAnsi="Arial" w:hint="default"/>
      </w:rPr>
    </w:lvl>
    <w:lvl w:ilvl="2" w:tplc="FDD2186C">
      <w:start w:val="42"/>
      <w:numFmt w:val="bullet"/>
      <w:lvlText w:val="•"/>
      <w:lvlJc w:val="left"/>
      <w:pPr>
        <w:tabs>
          <w:tab w:val="num" w:pos="2160"/>
        </w:tabs>
        <w:ind w:left="2160" w:hanging="360"/>
      </w:pPr>
      <w:rPr>
        <w:rFonts w:ascii="Arial" w:hAnsi="Arial" w:hint="default"/>
      </w:rPr>
    </w:lvl>
    <w:lvl w:ilvl="3" w:tplc="44B42B84">
      <w:start w:val="42"/>
      <w:numFmt w:val="bullet"/>
      <w:lvlText w:val="–"/>
      <w:lvlJc w:val="left"/>
      <w:pPr>
        <w:tabs>
          <w:tab w:val="num" w:pos="2880"/>
        </w:tabs>
        <w:ind w:left="2880" w:hanging="360"/>
      </w:pPr>
      <w:rPr>
        <w:rFonts w:ascii="Arial" w:hAnsi="Arial" w:hint="default"/>
      </w:rPr>
    </w:lvl>
    <w:lvl w:ilvl="4" w:tplc="E618EE1C" w:tentative="1">
      <w:start w:val="1"/>
      <w:numFmt w:val="bullet"/>
      <w:lvlText w:val="•"/>
      <w:lvlJc w:val="left"/>
      <w:pPr>
        <w:tabs>
          <w:tab w:val="num" w:pos="3600"/>
        </w:tabs>
        <w:ind w:left="3600" w:hanging="360"/>
      </w:pPr>
      <w:rPr>
        <w:rFonts w:ascii="Arial" w:hAnsi="Arial" w:hint="default"/>
      </w:rPr>
    </w:lvl>
    <w:lvl w:ilvl="5" w:tplc="2C1489D6" w:tentative="1">
      <w:start w:val="1"/>
      <w:numFmt w:val="bullet"/>
      <w:lvlText w:val="•"/>
      <w:lvlJc w:val="left"/>
      <w:pPr>
        <w:tabs>
          <w:tab w:val="num" w:pos="4320"/>
        </w:tabs>
        <w:ind w:left="4320" w:hanging="360"/>
      </w:pPr>
      <w:rPr>
        <w:rFonts w:ascii="Arial" w:hAnsi="Arial" w:hint="default"/>
      </w:rPr>
    </w:lvl>
    <w:lvl w:ilvl="6" w:tplc="549EA6F6" w:tentative="1">
      <w:start w:val="1"/>
      <w:numFmt w:val="bullet"/>
      <w:lvlText w:val="•"/>
      <w:lvlJc w:val="left"/>
      <w:pPr>
        <w:tabs>
          <w:tab w:val="num" w:pos="5040"/>
        </w:tabs>
        <w:ind w:left="5040" w:hanging="360"/>
      </w:pPr>
      <w:rPr>
        <w:rFonts w:ascii="Arial" w:hAnsi="Arial" w:hint="default"/>
      </w:rPr>
    </w:lvl>
    <w:lvl w:ilvl="7" w:tplc="B52E3962" w:tentative="1">
      <w:start w:val="1"/>
      <w:numFmt w:val="bullet"/>
      <w:lvlText w:val="•"/>
      <w:lvlJc w:val="left"/>
      <w:pPr>
        <w:tabs>
          <w:tab w:val="num" w:pos="5760"/>
        </w:tabs>
        <w:ind w:left="5760" w:hanging="360"/>
      </w:pPr>
      <w:rPr>
        <w:rFonts w:ascii="Arial" w:hAnsi="Arial" w:hint="default"/>
      </w:rPr>
    </w:lvl>
    <w:lvl w:ilvl="8" w:tplc="DB6094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71BDC"/>
    <w:multiLevelType w:val="hybridMultilevel"/>
    <w:tmpl w:val="69AAF9BC"/>
    <w:lvl w:ilvl="0" w:tplc="19FC5B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21EF8"/>
    <w:multiLevelType w:val="hybridMultilevel"/>
    <w:tmpl w:val="80C6BE68"/>
    <w:lvl w:ilvl="0" w:tplc="4A8061E6">
      <w:start w:val="1"/>
      <w:numFmt w:val="bullet"/>
      <w:lvlText w:val="•"/>
      <w:lvlJc w:val="left"/>
      <w:pPr>
        <w:tabs>
          <w:tab w:val="num" w:pos="720"/>
        </w:tabs>
        <w:ind w:left="720" w:hanging="360"/>
      </w:pPr>
      <w:rPr>
        <w:rFonts w:ascii="Arial" w:hAnsi="Arial" w:hint="default"/>
      </w:rPr>
    </w:lvl>
    <w:lvl w:ilvl="1" w:tplc="3F96B616">
      <w:numFmt w:val="bullet"/>
      <w:lvlText w:val="•"/>
      <w:lvlJc w:val="left"/>
      <w:pPr>
        <w:tabs>
          <w:tab w:val="num" w:pos="1440"/>
        </w:tabs>
        <w:ind w:left="1440" w:hanging="360"/>
      </w:pPr>
      <w:rPr>
        <w:rFonts w:ascii="Arial" w:hAnsi="Arial" w:hint="default"/>
      </w:rPr>
    </w:lvl>
    <w:lvl w:ilvl="2" w:tplc="F0023300">
      <w:numFmt w:val="bullet"/>
      <w:lvlText w:val="•"/>
      <w:lvlJc w:val="left"/>
      <w:pPr>
        <w:tabs>
          <w:tab w:val="num" w:pos="2160"/>
        </w:tabs>
        <w:ind w:left="2160" w:hanging="360"/>
      </w:pPr>
      <w:rPr>
        <w:rFonts w:ascii="Arial" w:hAnsi="Arial" w:hint="default"/>
      </w:rPr>
    </w:lvl>
    <w:lvl w:ilvl="3" w:tplc="F86E3B24" w:tentative="1">
      <w:start w:val="1"/>
      <w:numFmt w:val="bullet"/>
      <w:lvlText w:val="•"/>
      <w:lvlJc w:val="left"/>
      <w:pPr>
        <w:tabs>
          <w:tab w:val="num" w:pos="2880"/>
        </w:tabs>
        <w:ind w:left="2880" w:hanging="360"/>
      </w:pPr>
      <w:rPr>
        <w:rFonts w:ascii="Arial" w:hAnsi="Arial" w:hint="default"/>
      </w:rPr>
    </w:lvl>
    <w:lvl w:ilvl="4" w:tplc="4C34D274" w:tentative="1">
      <w:start w:val="1"/>
      <w:numFmt w:val="bullet"/>
      <w:lvlText w:val="•"/>
      <w:lvlJc w:val="left"/>
      <w:pPr>
        <w:tabs>
          <w:tab w:val="num" w:pos="3600"/>
        </w:tabs>
        <w:ind w:left="3600" w:hanging="360"/>
      </w:pPr>
      <w:rPr>
        <w:rFonts w:ascii="Arial" w:hAnsi="Arial" w:hint="default"/>
      </w:rPr>
    </w:lvl>
    <w:lvl w:ilvl="5" w:tplc="57223F8E" w:tentative="1">
      <w:start w:val="1"/>
      <w:numFmt w:val="bullet"/>
      <w:lvlText w:val="•"/>
      <w:lvlJc w:val="left"/>
      <w:pPr>
        <w:tabs>
          <w:tab w:val="num" w:pos="4320"/>
        </w:tabs>
        <w:ind w:left="4320" w:hanging="360"/>
      </w:pPr>
      <w:rPr>
        <w:rFonts w:ascii="Arial" w:hAnsi="Arial" w:hint="default"/>
      </w:rPr>
    </w:lvl>
    <w:lvl w:ilvl="6" w:tplc="8D7C66C8" w:tentative="1">
      <w:start w:val="1"/>
      <w:numFmt w:val="bullet"/>
      <w:lvlText w:val="•"/>
      <w:lvlJc w:val="left"/>
      <w:pPr>
        <w:tabs>
          <w:tab w:val="num" w:pos="5040"/>
        </w:tabs>
        <w:ind w:left="5040" w:hanging="360"/>
      </w:pPr>
      <w:rPr>
        <w:rFonts w:ascii="Arial" w:hAnsi="Arial" w:hint="default"/>
      </w:rPr>
    </w:lvl>
    <w:lvl w:ilvl="7" w:tplc="65F25A9C" w:tentative="1">
      <w:start w:val="1"/>
      <w:numFmt w:val="bullet"/>
      <w:lvlText w:val="•"/>
      <w:lvlJc w:val="left"/>
      <w:pPr>
        <w:tabs>
          <w:tab w:val="num" w:pos="5760"/>
        </w:tabs>
        <w:ind w:left="5760" w:hanging="360"/>
      </w:pPr>
      <w:rPr>
        <w:rFonts w:ascii="Arial" w:hAnsi="Arial" w:hint="default"/>
      </w:rPr>
    </w:lvl>
    <w:lvl w:ilvl="8" w:tplc="8996B0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AB1C09"/>
    <w:multiLevelType w:val="hybridMultilevel"/>
    <w:tmpl w:val="756417F8"/>
    <w:lvl w:ilvl="0" w:tplc="DC3C9F4E">
      <w:start w:val="1"/>
      <w:numFmt w:val="bullet"/>
      <w:lvlText w:val="•"/>
      <w:lvlJc w:val="left"/>
      <w:pPr>
        <w:tabs>
          <w:tab w:val="num" w:pos="720"/>
        </w:tabs>
        <w:ind w:left="720" w:hanging="360"/>
      </w:pPr>
      <w:rPr>
        <w:rFonts w:ascii="Arial" w:hAnsi="Arial" w:hint="default"/>
      </w:rPr>
    </w:lvl>
    <w:lvl w:ilvl="1" w:tplc="0A4C50FC">
      <w:start w:val="93"/>
      <w:numFmt w:val="bullet"/>
      <w:lvlText w:val="–"/>
      <w:lvlJc w:val="left"/>
      <w:pPr>
        <w:tabs>
          <w:tab w:val="num" w:pos="1440"/>
        </w:tabs>
        <w:ind w:left="1440" w:hanging="360"/>
      </w:pPr>
      <w:rPr>
        <w:rFonts w:ascii="Arial" w:hAnsi="Arial" w:hint="default"/>
      </w:rPr>
    </w:lvl>
    <w:lvl w:ilvl="2" w:tplc="42C0216E">
      <w:start w:val="93"/>
      <w:numFmt w:val="bullet"/>
      <w:lvlText w:val="•"/>
      <w:lvlJc w:val="left"/>
      <w:pPr>
        <w:tabs>
          <w:tab w:val="num" w:pos="2160"/>
        </w:tabs>
        <w:ind w:left="2160" w:hanging="360"/>
      </w:pPr>
      <w:rPr>
        <w:rFonts w:ascii="Arial" w:hAnsi="Arial" w:hint="default"/>
      </w:rPr>
    </w:lvl>
    <w:lvl w:ilvl="3" w:tplc="DBC467D6">
      <w:start w:val="93"/>
      <w:numFmt w:val="bullet"/>
      <w:lvlText w:val="–"/>
      <w:lvlJc w:val="left"/>
      <w:pPr>
        <w:tabs>
          <w:tab w:val="num" w:pos="2880"/>
        </w:tabs>
        <w:ind w:left="2880" w:hanging="360"/>
      </w:pPr>
      <w:rPr>
        <w:rFonts w:ascii="Arial" w:hAnsi="Arial" w:hint="default"/>
      </w:rPr>
    </w:lvl>
    <w:lvl w:ilvl="4" w:tplc="FB9ACD4A" w:tentative="1">
      <w:start w:val="1"/>
      <w:numFmt w:val="bullet"/>
      <w:lvlText w:val="•"/>
      <w:lvlJc w:val="left"/>
      <w:pPr>
        <w:tabs>
          <w:tab w:val="num" w:pos="3600"/>
        </w:tabs>
        <w:ind w:left="3600" w:hanging="360"/>
      </w:pPr>
      <w:rPr>
        <w:rFonts w:ascii="Arial" w:hAnsi="Arial" w:hint="default"/>
      </w:rPr>
    </w:lvl>
    <w:lvl w:ilvl="5" w:tplc="147E8734" w:tentative="1">
      <w:start w:val="1"/>
      <w:numFmt w:val="bullet"/>
      <w:lvlText w:val="•"/>
      <w:lvlJc w:val="left"/>
      <w:pPr>
        <w:tabs>
          <w:tab w:val="num" w:pos="4320"/>
        </w:tabs>
        <w:ind w:left="4320" w:hanging="360"/>
      </w:pPr>
      <w:rPr>
        <w:rFonts w:ascii="Arial" w:hAnsi="Arial" w:hint="default"/>
      </w:rPr>
    </w:lvl>
    <w:lvl w:ilvl="6" w:tplc="613CB9CA" w:tentative="1">
      <w:start w:val="1"/>
      <w:numFmt w:val="bullet"/>
      <w:lvlText w:val="•"/>
      <w:lvlJc w:val="left"/>
      <w:pPr>
        <w:tabs>
          <w:tab w:val="num" w:pos="5040"/>
        </w:tabs>
        <w:ind w:left="5040" w:hanging="360"/>
      </w:pPr>
      <w:rPr>
        <w:rFonts w:ascii="Arial" w:hAnsi="Arial" w:hint="default"/>
      </w:rPr>
    </w:lvl>
    <w:lvl w:ilvl="7" w:tplc="1AFA6FEC" w:tentative="1">
      <w:start w:val="1"/>
      <w:numFmt w:val="bullet"/>
      <w:lvlText w:val="•"/>
      <w:lvlJc w:val="left"/>
      <w:pPr>
        <w:tabs>
          <w:tab w:val="num" w:pos="5760"/>
        </w:tabs>
        <w:ind w:left="5760" w:hanging="360"/>
      </w:pPr>
      <w:rPr>
        <w:rFonts w:ascii="Arial" w:hAnsi="Arial" w:hint="default"/>
      </w:rPr>
    </w:lvl>
    <w:lvl w:ilvl="8" w:tplc="469E7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25E17"/>
    <w:multiLevelType w:val="hybridMultilevel"/>
    <w:tmpl w:val="BA60A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1"/>
  </w:num>
  <w:num w:numId="5">
    <w:abstractNumId w:val="14"/>
  </w:num>
  <w:num w:numId="6">
    <w:abstractNumId w:val="23"/>
  </w:num>
  <w:num w:numId="7">
    <w:abstractNumId w:val="31"/>
  </w:num>
  <w:num w:numId="8">
    <w:abstractNumId w:val="15"/>
  </w:num>
  <w:num w:numId="9">
    <w:abstractNumId w:val="20"/>
  </w:num>
  <w:num w:numId="10">
    <w:abstractNumId w:val="18"/>
  </w:num>
  <w:num w:numId="11">
    <w:abstractNumId w:val="30"/>
  </w:num>
  <w:num w:numId="12">
    <w:abstractNumId w:val="28"/>
  </w:num>
  <w:num w:numId="13">
    <w:abstractNumId w:val="39"/>
  </w:num>
  <w:num w:numId="14">
    <w:abstractNumId w:val="35"/>
  </w:num>
  <w:num w:numId="15">
    <w:abstractNumId w:val="37"/>
  </w:num>
  <w:num w:numId="16">
    <w:abstractNumId w:val="36"/>
  </w:num>
  <w:num w:numId="17">
    <w:abstractNumId w:val="11"/>
  </w:num>
  <w:num w:numId="18">
    <w:abstractNumId w:val="22"/>
  </w:num>
  <w:num w:numId="19">
    <w:abstractNumId w:val="4"/>
  </w:num>
  <w:num w:numId="20">
    <w:abstractNumId w:val="9"/>
  </w:num>
  <w:num w:numId="21">
    <w:abstractNumId w:val="33"/>
  </w:num>
  <w:num w:numId="22">
    <w:abstractNumId w:val="12"/>
  </w:num>
  <w:num w:numId="23">
    <w:abstractNumId w:val="27"/>
  </w:num>
  <w:num w:numId="24">
    <w:abstractNumId w:val="2"/>
  </w:num>
  <w:num w:numId="25">
    <w:abstractNumId w:val="19"/>
  </w:num>
  <w:num w:numId="26">
    <w:abstractNumId w:val="34"/>
  </w:num>
  <w:num w:numId="27">
    <w:abstractNumId w:val="17"/>
  </w:num>
  <w:num w:numId="28">
    <w:abstractNumId w:val="29"/>
  </w:num>
  <w:num w:numId="29">
    <w:abstractNumId w:val="16"/>
  </w:num>
  <w:num w:numId="30">
    <w:abstractNumId w:val="10"/>
  </w:num>
  <w:num w:numId="31">
    <w:abstractNumId w:val="5"/>
  </w:num>
  <w:num w:numId="32">
    <w:abstractNumId w:val="26"/>
  </w:num>
  <w:num w:numId="33">
    <w:abstractNumId w:val="32"/>
  </w:num>
  <w:num w:numId="34">
    <w:abstractNumId w:val="38"/>
  </w:num>
  <w:num w:numId="35">
    <w:abstractNumId w:val="21"/>
  </w:num>
  <w:num w:numId="36">
    <w:abstractNumId w:val="8"/>
  </w:num>
  <w:num w:numId="37">
    <w:abstractNumId w:val="7"/>
  </w:num>
  <w:num w:numId="38">
    <w:abstractNumId w:val="13"/>
  </w:num>
  <w:num w:numId="39">
    <w:abstractNumId w:val="24"/>
  </w:num>
  <w:num w:numId="40">
    <w:abstractNumId w:val="25"/>
  </w:num>
  <w:num w:numId="41">
    <w:abstractNumId w:val="40"/>
  </w:num>
  <w:num w:numId="42">
    <w:abstractNumId w:val="3"/>
  </w:num>
  <w:num w:numId="43">
    <w:abstractNumId w:val="4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1E95"/>
    <w:rsid w:val="00003659"/>
    <w:rsid w:val="00003F28"/>
    <w:rsid w:val="0000470B"/>
    <w:rsid w:val="00004F8F"/>
    <w:rsid w:val="000051C9"/>
    <w:rsid w:val="000057DF"/>
    <w:rsid w:val="00005C0F"/>
    <w:rsid w:val="0000640E"/>
    <w:rsid w:val="000075E4"/>
    <w:rsid w:val="00007EEE"/>
    <w:rsid w:val="0001002B"/>
    <w:rsid w:val="00010AEE"/>
    <w:rsid w:val="00011A8E"/>
    <w:rsid w:val="00011F2D"/>
    <w:rsid w:val="000121EB"/>
    <w:rsid w:val="000135DD"/>
    <w:rsid w:val="00013F4F"/>
    <w:rsid w:val="00014DAE"/>
    <w:rsid w:val="00015EFC"/>
    <w:rsid w:val="000167F2"/>
    <w:rsid w:val="00017366"/>
    <w:rsid w:val="000179DF"/>
    <w:rsid w:val="00017AF9"/>
    <w:rsid w:val="000201E7"/>
    <w:rsid w:val="00020F48"/>
    <w:rsid w:val="000213CE"/>
    <w:rsid w:val="00022342"/>
    <w:rsid w:val="000237B9"/>
    <w:rsid w:val="00024429"/>
    <w:rsid w:val="0002572A"/>
    <w:rsid w:val="00027311"/>
    <w:rsid w:val="000277B2"/>
    <w:rsid w:val="00027D60"/>
    <w:rsid w:val="0003069E"/>
    <w:rsid w:val="00031103"/>
    <w:rsid w:val="00031AF6"/>
    <w:rsid w:val="00032D3A"/>
    <w:rsid w:val="00032D4A"/>
    <w:rsid w:val="00035879"/>
    <w:rsid w:val="00036AAB"/>
    <w:rsid w:val="000409B9"/>
    <w:rsid w:val="00041F81"/>
    <w:rsid w:val="00042044"/>
    <w:rsid w:val="00042761"/>
    <w:rsid w:val="00042A4F"/>
    <w:rsid w:val="00042C1E"/>
    <w:rsid w:val="000433C7"/>
    <w:rsid w:val="0004621B"/>
    <w:rsid w:val="00046335"/>
    <w:rsid w:val="0005061C"/>
    <w:rsid w:val="00050B2A"/>
    <w:rsid w:val="0005126B"/>
    <w:rsid w:val="000529B3"/>
    <w:rsid w:val="00052A8F"/>
    <w:rsid w:val="00052A90"/>
    <w:rsid w:val="000530D9"/>
    <w:rsid w:val="0005365D"/>
    <w:rsid w:val="0005434F"/>
    <w:rsid w:val="000547B0"/>
    <w:rsid w:val="00054A55"/>
    <w:rsid w:val="00055864"/>
    <w:rsid w:val="00055E6D"/>
    <w:rsid w:val="00055FB3"/>
    <w:rsid w:val="0005674E"/>
    <w:rsid w:val="00057B28"/>
    <w:rsid w:val="00057B47"/>
    <w:rsid w:val="00057BAE"/>
    <w:rsid w:val="00060362"/>
    <w:rsid w:val="00060A5B"/>
    <w:rsid w:val="00060CD9"/>
    <w:rsid w:val="00061919"/>
    <w:rsid w:val="00061B41"/>
    <w:rsid w:val="00061C59"/>
    <w:rsid w:val="00063883"/>
    <w:rsid w:val="0006596D"/>
    <w:rsid w:val="00066300"/>
    <w:rsid w:val="00066564"/>
    <w:rsid w:val="000668DB"/>
    <w:rsid w:val="00066C19"/>
    <w:rsid w:val="00067182"/>
    <w:rsid w:val="00067C1B"/>
    <w:rsid w:val="0007045A"/>
    <w:rsid w:val="00070D16"/>
    <w:rsid w:val="000718D9"/>
    <w:rsid w:val="000721FC"/>
    <w:rsid w:val="00072247"/>
    <w:rsid w:val="00072382"/>
    <w:rsid w:val="000724AD"/>
    <w:rsid w:val="0007275A"/>
    <w:rsid w:val="0007354A"/>
    <w:rsid w:val="000735D9"/>
    <w:rsid w:val="00073A24"/>
    <w:rsid w:val="00074D6C"/>
    <w:rsid w:val="00075668"/>
    <w:rsid w:val="00076D1F"/>
    <w:rsid w:val="00076E8C"/>
    <w:rsid w:val="00080205"/>
    <w:rsid w:val="000803A9"/>
    <w:rsid w:val="00080800"/>
    <w:rsid w:val="00081CA2"/>
    <w:rsid w:val="000832A0"/>
    <w:rsid w:val="000857F2"/>
    <w:rsid w:val="0008594B"/>
    <w:rsid w:val="00087350"/>
    <w:rsid w:val="0008796B"/>
    <w:rsid w:val="00090499"/>
    <w:rsid w:val="00091A7F"/>
    <w:rsid w:val="00091F76"/>
    <w:rsid w:val="00093C23"/>
    <w:rsid w:val="00093FC2"/>
    <w:rsid w:val="000946DB"/>
    <w:rsid w:val="00095772"/>
    <w:rsid w:val="00096045"/>
    <w:rsid w:val="000963AE"/>
    <w:rsid w:val="0009684F"/>
    <w:rsid w:val="00096C16"/>
    <w:rsid w:val="00097F75"/>
    <w:rsid w:val="000A105F"/>
    <w:rsid w:val="000A207F"/>
    <w:rsid w:val="000A23B2"/>
    <w:rsid w:val="000A29C6"/>
    <w:rsid w:val="000A33B5"/>
    <w:rsid w:val="000A4871"/>
    <w:rsid w:val="000A4A16"/>
    <w:rsid w:val="000A4CE0"/>
    <w:rsid w:val="000A4FF9"/>
    <w:rsid w:val="000A51A1"/>
    <w:rsid w:val="000A525A"/>
    <w:rsid w:val="000A6510"/>
    <w:rsid w:val="000A7EDD"/>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343F"/>
    <w:rsid w:val="000F4AC4"/>
    <w:rsid w:val="000F5664"/>
    <w:rsid w:val="000F5A66"/>
    <w:rsid w:val="000F5B16"/>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BA9"/>
    <w:rsid w:val="00114738"/>
    <w:rsid w:val="00114D8B"/>
    <w:rsid w:val="0011502D"/>
    <w:rsid w:val="0011558F"/>
    <w:rsid w:val="0011577C"/>
    <w:rsid w:val="001168FA"/>
    <w:rsid w:val="001178F2"/>
    <w:rsid w:val="00120041"/>
    <w:rsid w:val="001203AA"/>
    <w:rsid w:val="00120888"/>
    <w:rsid w:val="00120B4C"/>
    <w:rsid w:val="001210B0"/>
    <w:rsid w:val="0012219A"/>
    <w:rsid w:val="00123ED1"/>
    <w:rsid w:val="00125368"/>
    <w:rsid w:val="001254C4"/>
    <w:rsid w:val="00126EAB"/>
    <w:rsid w:val="00127535"/>
    <w:rsid w:val="00130AA2"/>
    <w:rsid w:val="00130ED8"/>
    <w:rsid w:val="001311CC"/>
    <w:rsid w:val="00131AD0"/>
    <w:rsid w:val="0013241F"/>
    <w:rsid w:val="00132BF6"/>
    <w:rsid w:val="00133470"/>
    <w:rsid w:val="00134EFD"/>
    <w:rsid w:val="00134F1D"/>
    <w:rsid w:val="001354B2"/>
    <w:rsid w:val="00135EB8"/>
    <w:rsid w:val="00140270"/>
    <w:rsid w:val="00140C24"/>
    <w:rsid w:val="001421A8"/>
    <w:rsid w:val="00142231"/>
    <w:rsid w:val="00142391"/>
    <w:rsid w:val="00142630"/>
    <w:rsid w:val="00142768"/>
    <w:rsid w:val="00143951"/>
    <w:rsid w:val="0014605C"/>
    <w:rsid w:val="00146EC4"/>
    <w:rsid w:val="00147E0D"/>
    <w:rsid w:val="001500D7"/>
    <w:rsid w:val="00151C32"/>
    <w:rsid w:val="00152595"/>
    <w:rsid w:val="00153DCE"/>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6FA4"/>
    <w:rsid w:val="00167432"/>
    <w:rsid w:val="00170486"/>
    <w:rsid w:val="0017094F"/>
    <w:rsid w:val="00171E7F"/>
    <w:rsid w:val="00172587"/>
    <w:rsid w:val="00172588"/>
    <w:rsid w:val="001726E9"/>
    <w:rsid w:val="001726EA"/>
    <w:rsid w:val="0017281E"/>
    <w:rsid w:val="00172C51"/>
    <w:rsid w:val="001738F4"/>
    <w:rsid w:val="00173A12"/>
    <w:rsid w:val="00173E27"/>
    <w:rsid w:val="00174542"/>
    <w:rsid w:val="00174768"/>
    <w:rsid w:val="001752D3"/>
    <w:rsid w:val="001754C0"/>
    <w:rsid w:val="00177929"/>
    <w:rsid w:val="0018067C"/>
    <w:rsid w:val="0018252D"/>
    <w:rsid w:val="0018259F"/>
    <w:rsid w:val="00182960"/>
    <w:rsid w:val="00183548"/>
    <w:rsid w:val="001839DA"/>
    <w:rsid w:val="00183F42"/>
    <w:rsid w:val="00184118"/>
    <w:rsid w:val="00184232"/>
    <w:rsid w:val="00184BE0"/>
    <w:rsid w:val="00184CF3"/>
    <w:rsid w:val="001852C0"/>
    <w:rsid w:val="00185B5F"/>
    <w:rsid w:val="001867BC"/>
    <w:rsid w:val="00186D84"/>
    <w:rsid w:val="00187180"/>
    <w:rsid w:val="0018745C"/>
    <w:rsid w:val="00190C7B"/>
    <w:rsid w:val="0019116A"/>
    <w:rsid w:val="00191B11"/>
    <w:rsid w:val="00191FBA"/>
    <w:rsid w:val="00192548"/>
    <w:rsid w:val="00192B37"/>
    <w:rsid w:val="00192DB3"/>
    <w:rsid w:val="0019311E"/>
    <w:rsid w:val="00193C45"/>
    <w:rsid w:val="00194A90"/>
    <w:rsid w:val="00196259"/>
    <w:rsid w:val="00197701"/>
    <w:rsid w:val="00197EC0"/>
    <w:rsid w:val="001A0E97"/>
    <w:rsid w:val="001A192E"/>
    <w:rsid w:val="001A21BA"/>
    <w:rsid w:val="001A2213"/>
    <w:rsid w:val="001A3ADC"/>
    <w:rsid w:val="001A4A31"/>
    <w:rsid w:val="001A5E45"/>
    <w:rsid w:val="001A5F0B"/>
    <w:rsid w:val="001A7B67"/>
    <w:rsid w:val="001A7BC2"/>
    <w:rsid w:val="001B0624"/>
    <w:rsid w:val="001B07BC"/>
    <w:rsid w:val="001B16EC"/>
    <w:rsid w:val="001B2212"/>
    <w:rsid w:val="001B3005"/>
    <w:rsid w:val="001B32BE"/>
    <w:rsid w:val="001B3E9B"/>
    <w:rsid w:val="001B41F1"/>
    <w:rsid w:val="001B5230"/>
    <w:rsid w:val="001B58B6"/>
    <w:rsid w:val="001B677A"/>
    <w:rsid w:val="001B7FBA"/>
    <w:rsid w:val="001C004F"/>
    <w:rsid w:val="001C1997"/>
    <w:rsid w:val="001C19B2"/>
    <w:rsid w:val="001C1F12"/>
    <w:rsid w:val="001C34B5"/>
    <w:rsid w:val="001C3C0F"/>
    <w:rsid w:val="001C4EE7"/>
    <w:rsid w:val="001C5E49"/>
    <w:rsid w:val="001C6000"/>
    <w:rsid w:val="001C68B2"/>
    <w:rsid w:val="001C7D09"/>
    <w:rsid w:val="001C7D7F"/>
    <w:rsid w:val="001D06AC"/>
    <w:rsid w:val="001D07A5"/>
    <w:rsid w:val="001D0FC8"/>
    <w:rsid w:val="001D25A5"/>
    <w:rsid w:val="001D29EA"/>
    <w:rsid w:val="001D2D0F"/>
    <w:rsid w:val="001D2F18"/>
    <w:rsid w:val="001D35C5"/>
    <w:rsid w:val="001D5CD9"/>
    <w:rsid w:val="001D5F1A"/>
    <w:rsid w:val="001D6714"/>
    <w:rsid w:val="001D6A2F"/>
    <w:rsid w:val="001D6DB2"/>
    <w:rsid w:val="001E0970"/>
    <w:rsid w:val="001E1C9C"/>
    <w:rsid w:val="001E213E"/>
    <w:rsid w:val="001E272E"/>
    <w:rsid w:val="001E42DA"/>
    <w:rsid w:val="001E4331"/>
    <w:rsid w:val="001E4E17"/>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E69"/>
    <w:rsid w:val="00232CFF"/>
    <w:rsid w:val="00234070"/>
    <w:rsid w:val="0023467C"/>
    <w:rsid w:val="00234A9E"/>
    <w:rsid w:val="00234B6E"/>
    <w:rsid w:val="00234BE5"/>
    <w:rsid w:val="002351BF"/>
    <w:rsid w:val="00235772"/>
    <w:rsid w:val="00235B22"/>
    <w:rsid w:val="00235CEC"/>
    <w:rsid w:val="00235E4A"/>
    <w:rsid w:val="00235F52"/>
    <w:rsid w:val="00236C13"/>
    <w:rsid w:val="00236DDC"/>
    <w:rsid w:val="0023778C"/>
    <w:rsid w:val="00237F4E"/>
    <w:rsid w:val="002411F2"/>
    <w:rsid w:val="002421A3"/>
    <w:rsid w:val="00244E12"/>
    <w:rsid w:val="00244E43"/>
    <w:rsid w:val="00246460"/>
    <w:rsid w:val="0024698E"/>
    <w:rsid w:val="00247898"/>
    <w:rsid w:val="00250A4E"/>
    <w:rsid w:val="002531AA"/>
    <w:rsid w:val="002533A6"/>
    <w:rsid w:val="00253731"/>
    <w:rsid w:val="00253C39"/>
    <w:rsid w:val="00255259"/>
    <w:rsid w:val="00255DB5"/>
    <w:rsid w:val="00255DFB"/>
    <w:rsid w:val="00255FDD"/>
    <w:rsid w:val="00257498"/>
    <w:rsid w:val="002624F5"/>
    <w:rsid w:val="00262C5E"/>
    <w:rsid w:val="00263976"/>
    <w:rsid w:val="002639D7"/>
    <w:rsid w:val="00263ED3"/>
    <w:rsid w:val="00264921"/>
    <w:rsid w:val="00264BC8"/>
    <w:rsid w:val="00265439"/>
    <w:rsid w:val="00270264"/>
    <w:rsid w:val="0027285A"/>
    <w:rsid w:val="00272C9C"/>
    <w:rsid w:val="00273887"/>
    <w:rsid w:val="00273DC9"/>
    <w:rsid w:val="00280C6D"/>
    <w:rsid w:val="00281337"/>
    <w:rsid w:val="0028165C"/>
    <w:rsid w:val="002818AC"/>
    <w:rsid w:val="00281BFA"/>
    <w:rsid w:val="00284315"/>
    <w:rsid w:val="00285772"/>
    <w:rsid w:val="002860F4"/>
    <w:rsid w:val="00287364"/>
    <w:rsid w:val="00287516"/>
    <w:rsid w:val="00287D33"/>
    <w:rsid w:val="00290E2D"/>
    <w:rsid w:val="00291AA4"/>
    <w:rsid w:val="00292A88"/>
    <w:rsid w:val="00292E99"/>
    <w:rsid w:val="0029480F"/>
    <w:rsid w:val="002951FC"/>
    <w:rsid w:val="002971F7"/>
    <w:rsid w:val="002A039E"/>
    <w:rsid w:val="002A1CBA"/>
    <w:rsid w:val="002A1FDF"/>
    <w:rsid w:val="002A4A3B"/>
    <w:rsid w:val="002A5A3A"/>
    <w:rsid w:val="002A5DC6"/>
    <w:rsid w:val="002A6373"/>
    <w:rsid w:val="002A63CB"/>
    <w:rsid w:val="002B07C7"/>
    <w:rsid w:val="002B0F80"/>
    <w:rsid w:val="002B1095"/>
    <w:rsid w:val="002B11BE"/>
    <w:rsid w:val="002B23C5"/>
    <w:rsid w:val="002B2C10"/>
    <w:rsid w:val="002B2EB8"/>
    <w:rsid w:val="002B368A"/>
    <w:rsid w:val="002B3AE8"/>
    <w:rsid w:val="002B4046"/>
    <w:rsid w:val="002B4366"/>
    <w:rsid w:val="002B44D8"/>
    <w:rsid w:val="002B47D6"/>
    <w:rsid w:val="002B4986"/>
    <w:rsid w:val="002B5026"/>
    <w:rsid w:val="002B56F8"/>
    <w:rsid w:val="002B783E"/>
    <w:rsid w:val="002B7910"/>
    <w:rsid w:val="002B7978"/>
    <w:rsid w:val="002B7CC4"/>
    <w:rsid w:val="002C1D57"/>
    <w:rsid w:val="002C1E40"/>
    <w:rsid w:val="002C1FAD"/>
    <w:rsid w:val="002C285C"/>
    <w:rsid w:val="002C3811"/>
    <w:rsid w:val="002C39D5"/>
    <w:rsid w:val="002C6DB8"/>
    <w:rsid w:val="002C741C"/>
    <w:rsid w:val="002D14F3"/>
    <w:rsid w:val="002D3252"/>
    <w:rsid w:val="002D3DA0"/>
    <w:rsid w:val="002D409D"/>
    <w:rsid w:val="002D43CF"/>
    <w:rsid w:val="002D4EAD"/>
    <w:rsid w:val="002D5B4C"/>
    <w:rsid w:val="002D7B39"/>
    <w:rsid w:val="002E04A3"/>
    <w:rsid w:val="002E2795"/>
    <w:rsid w:val="002E499D"/>
    <w:rsid w:val="002E4D26"/>
    <w:rsid w:val="002E68DF"/>
    <w:rsid w:val="002E7007"/>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5CE6"/>
    <w:rsid w:val="0030654E"/>
    <w:rsid w:val="00306C5D"/>
    <w:rsid w:val="00306FFE"/>
    <w:rsid w:val="00307986"/>
    <w:rsid w:val="00307F52"/>
    <w:rsid w:val="0031167A"/>
    <w:rsid w:val="00311A62"/>
    <w:rsid w:val="00311D9B"/>
    <w:rsid w:val="00312CFF"/>
    <w:rsid w:val="0031334F"/>
    <w:rsid w:val="003140E8"/>
    <w:rsid w:val="00314278"/>
    <w:rsid w:val="003150B0"/>
    <w:rsid w:val="003165DA"/>
    <w:rsid w:val="0031691D"/>
    <w:rsid w:val="00317A86"/>
    <w:rsid w:val="0032098D"/>
    <w:rsid w:val="00320D05"/>
    <w:rsid w:val="003211C9"/>
    <w:rsid w:val="00321B25"/>
    <w:rsid w:val="00321BF4"/>
    <w:rsid w:val="00322939"/>
    <w:rsid w:val="00322C0E"/>
    <w:rsid w:val="00322C8D"/>
    <w:rsid w:val="003230B3"/>
    <w:rsid w:val="00323F7A"/>
    <w:rsid w:val="003241CB"/>
    <w:rsid w:val="00324758"/>
    <w:rsid w:val="00326279"/>
    <w:rsid w:val="003268BA"/>
    <w:rsid w:val="00327656"/>
    <w:rsid w:val="00327A9B"/>
    <w:rsid w:val="003305C3"/>
    <w:rsid w:val="0033117F"/>
    <w:rsid w:val="00331561"/>
    <w:rsid w:val="00332950"/>
    <w:rsid w:val="00332A8C"/>
    <w:rsid w:val="00332C78"/>
    <w:rsid w:val="003346C1"/>
    <w:rsid w:val="00335026"/>
    <w:rsid w:val="003353E0"/>
    <w:rsid w:val="00336C5C"/>
    <w:rsid w:val="003378CB"/>
    <w:rsid w:val="003379B0"/>
    <w:rsid w:val="0034043F"/>
    <w:rsid w:val="0034055C"/>
    <w:rsid w:val="00340E5F"/>
    <w:rsid w:val="00341CEA"/>
    <w:rsid w:val="00342134"/>
    <w:rsid w:val="0034254D"/>
    <w:rsid w:val="00342F4F"/>
    <w:rsid w:val="003448CE"/>
    <w:rsid w:val="003454B8"/>
    <w:rsid w:val="0034618D"/>
    <w:rsid w:val="0034674D"/>
    <w:rsid w:val="00347E2E"/>
    <w:rsid w:val="003514BC"/>
    <w:rsid w:val="00351C0A"/>
    <w:rsid w:val="00351F34"/>
    <w:rsid w:val="00352334"/>
    <w:rsid w:val="003526DC"/>
    <w:rsid w:val="0035309F"/>
    <w:rsid w:val="00353874"/>
    <w:rsid w:val="00353890"/>
    <w:rsid w:val="00353DCF"/>
    <w:rsid w:val="00353F6E"/>
    <w:rsid w:val="003544C5"/>
    <w:rsid w:val="00354C1A"/>
    <w:rsid w:val="00355478"/>
    <w:rsid w:val="0035571A"/>
    <w:rsid w:val="003558AF"/>
    <w:rsid w:val="00355DC7"/>
    <w:rsid w:val="00355F3A"/>
    <w:rsid w:val="0035613A"/>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2A73"/>
    <w:rsid w:val="0037332C"/>
    <w:rsid w:val="00373D27"/>
    <w:rsid w:val="00374BE6"/>
    <w:rsid w:val="00377F9E"/>
    <w:rsid w:val="0038104D"/>
    <w:rsid w:val="003810E8"/>
    <w:rsid w:val="00381488"/>
    <w:rsid w:val="0038170D"/>
    <w:rsid w:val="00382067"/>
    <w:rsid w:val="00383CE6"/>
    <w:rsid w:val="00384695"/>
    <w:rsid w:val="0038496E"/>
    <w:rsid w:val="00384D96"/>
    <w:rsid w:val="0038523D"/>
    <w:rsid w:val="003858E4"/>
    <w:rsid w:val="00385AAD"/>
    <w:rsid w:val="00386515"/>
    <w:rsid w:val="003870D0"/>
    <w:rsid w:val="003876CE"/>
    <w:rsid w:val="003900F3"/>
    <w:rsid w:val="00390355"/>
    <w:rsid w:val="00390692"/>
    <w:rsid w:val="0039083F"/>
    <w:rsid w:val="00392791"/>
    <w:rsid w:val="00392CD9"/>
    <w:rsid w:val="003933FA"/>
    <w:rsid w:val="00393F4C"/>
    <w:rsid w:val="00394AA8"/>
    <w:rsid w:val="00397304"/>
    <w:rsid w:val="00397F45"/>
    <w:rsid w:val="003A04AE"/>
    <w:rsid w:val="003A0C22"/>
    <w:rsid w:val="003A0C84"/>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3D8"/>
    <w:rsid w:val="003B346C"/>
    <w:rsid w:val="003B44B7"/>
    <w:rsid w:val="003B5666"/>
    <w:rsid w:val="003B7801"/>
    <w:rsid w:val="003C02B6"/>
    <w:rsid w:val="003C09A3"/>
    <w:rsid w:val="003C0AA3"/>
    <w:rsid w:val="003C3120"/>
    <w:rsid w:val="003C456B"/>
    <w:rsid w:val="003C4C8D"/>
    <w:rsid w:val="003C6C45"/>
    <w:rsid w:val="003C72EE"/>
    <w:rsid w:val="003C7E0D"/>
    <w:rsid w:val="003D0455"/>
    <w:rsid w:val="003D15A1"/>
    <w:rsid w:val="003D2450"/>
    <w:rsid w:val="003D24E7"/>
    <w:rsid w:val="003D273D"/>
    <w:rsid w:val="003D2D2C"/>
    <w:rsid w:val="003D3068"/>
    <w:rsid w:val="003D37E4"/>
    <w:rsid w:val="003D3872"/>
    <w:rsid w:val="003D3EEA"/>
    <w:rsid w:val="003D42EF"/>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5C1C"/>
    <w:rsid w:val="003F614C"/>
    <w:rsid w:val="003F6C3A"/>
    <w:rsid w:val="003F701E"/>
    <w:rsid w:val="003F7140"/>
    <w:rsid w:val="003F7E57"/>
    <w:rsid w:val="00400026"/>
    <w:rsid w:val="00401DB4"/>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6A3D"/>
    <w:rsid w:val="00427DC8"/>
    <w:rsid w:val="00430DA0"/>
    <w:rsid w:val="00432C91"/>
    <w:rsid w:val="00434528"/>
    <w:rsid w:val="004361CE"/>
    <w:rsid w:val="004373A6"/>
    <w:rsid w:val="004375FE"/>
    <w:rsid w:val="00437604"/>
    <w:rsid w:val="00437704"/>
    <w:rsid w:val="00440089"/>
    <w:rsid w:val="00440F45"/>
    <w:rsid w:val="004414AC"/>
    <w:rsid w:val="00441B76"/>
    <w:rsid w:val="00442F8C"/>
    <w:rsid w:val="00443BBF"/>
    <w:rsid w:val="00444AFF"/>
    <w:rsid w:val="00444B94"/>
    <w:rsid w:val="004461A3"/>
    <w:rsid w:val="00447F5B"/>
    <w:rsid w:val="0045072F"/>
    <w:rsid w:val="00450BD4"/>
    <w:rsid w:val="00450C58"/>
    <w:rsid w:val="0045113A"/>
    <w:rsid w:val="004522B2"/>
    <w:rsid w:val="004526D4"/>
    <w:rsid w:val="00452A6B"/>
    <w:rsid w:val="00453445"/>
    <w:rsid w:val="00454D38"/>
    <w:rsid w:val="004559A1"/>
    <w:rsid w:val="00456CBD"/>
    <w:rsid w:val="00456F20"/>
    <w:rsid w:val="0045766E"/>
    <w:rsid w:val="004576AA"/>
    <w:rsid w:val="004577A1"/>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6096"/>
    <w:rsid w:val="00466400"/>
    <w:rsid w:val="0047045F"/>
    <w:rsid w:val="00470CE1"/>
    <w:rsid w:val="00472397"/>
    <w:rsid w:val="0047268E"/>
    <w:rsid w:val="004730AC"/>
    <w:rsid w:val="004731EA"/>
    <w:rsid w:val="00473C1A"/>
    <w:rsid w:val="00473F45"/>
    <w:rsid w:val="004743C0"/>
    <w:rsid w:val="004745C5"/>
    <w:rsid w:val="00474666"/>
    <w:rsid w:val="00475C71"/>
    <w:rsid w:val="00476D85"/>
    <w:rsid w:val="004774D9"/>
    <w:rsid w:val="004779A9"/>
    <w:rsid w:val="00480605"/>
    <w:rsid w:val="0048083A"/>
    <w:rsid w:val="00480C7A"/>
    <w:rsid w:val="004857BA"/>
    <w:rsid w:val="00485800"/>
    <w:rsid w:val="00485FE7"/>
    <w:rsid w:val="00486311"/>
    <w:rsid w:val="00486CE0"/>
    <w:rsid w:val="00486F40"/>
    <w:rsid w:val="00490EB5"/>
    <w:rsid w:val="00491B56"/>
    <w:rsid w:val="00494AD8"/>
    <w:rsid w:val="004961B6"/>
    <w:rsid w:val="00496E88"/>
    <w:rsid w:val="0049781A"/>
    <w:rsid w:val="00497FFD"/>
    <w:rsid w:val="004A0B27"/>
    <w:rsid w:val="004A0C80"/>
    <w:rsid w:val="004A0D5B"/>
    <w:rsid w:val="004A2087"/>
    <w:rsid w:val="004A2D23"/>
    <w:rsid w:val="004A305F"/>
    <w:rsid w:val="004A37FB"/>
    <w:rsid w:val="004A3957"/>
    <w:rsid w:val="004A51E8"/>
    <w:rsid w:val="004A608F"/>
    <w:rsid w:val="004A708C"/>
    <w:rsid w:val="004A7311"/>
    <w:rsid w:val="004A74BA"/>
    <w:rsid w:val="004B067D"/>
    <w:rsid w:val="004B131E"/>
    <w:rsid w:val="004B2E2E"/>
    <w:rsid w:val="004B459D"/>
    <w:rsid w:val="004B45AF"/>
    <w:rsid w:val="004B4AC8"/>
    <w:rsid w:val="004C1326"/>
    <w:rsid w:val="004C1417"/>
    <w:rsid w:val="004C18ED"/>
    <w:rsid w:val="004C3AC1"/>
    <w:rsid w:val="004C3F0A"/>
    <w:rsid w:val="004C4A6D"/>
    <w:rsid w:val="004C4BDC"/>
    <w:rsid w:val="004C519C"/>
    <w:rsid w:val="004C51B7"/>
    <w:rsid w:val="004C6442"/>
    <w:rsid w:val="004C6AA3"/>
    <w:rsid w:val="004C7281"/>
    <w:rsid w:val="004D0ED6"/>
    <w:rsid w:val="004D21D7"/>
    <w:rsid w:val="004D3B6D"/>
    <w:rsid w:val="004D4135"/>
    <w:rsid w:val="004D4872"/>
    <w:rsid w:val="004D717E"/>
    <w:rsid w:val="004D7226"/>
    <w:rsid w:val="004D7469"/>
    <w:rsid w:val="004D7664"/>
    <w:rsid w:val="004E0AE5"/>
    <w:rsid w:val="004E0BC2"/>
    <w:rsid w:val="004E0DDC"/>
    <w:rsid w:val="004E181A"/>
    <w:rsid w:val="004E2FC3"/>
    <w:rsid w:val="004E33AA"/>
    <w:rsid w:val="004E33D3"/>
    <w:rsid w:val="004E3C80"/>
    <w:rsid w:val="004E4A28"/>
    <w:rsid w:val="004E72A1"/>
    <w:rsid w:val="004F06D1"/>
    <w:rsid w:val="004F118D"/>
    <w:rsid w:val="004F2D5D"/>
    <w:rsid w:val="004F3C24"/>
    <w:rsid w:val="004F434A"/>
    <w:rsid w:val="004F4C94"/>
    <w:rsid w:val="004F51CB"/>
    <w:rsid w:val="004F5A87"/>
    <w:rsid w:val="004F5E5F"/>
    <w:rsid w:val="004F6CD8"/>
    <w:rsid w:val="004F6E7F"/>
    <w:rsid w:val="004F7116"/>
    <w:rsid w:val="004F712D"/>
    <w:rsid w:val="004F73E2"/>
    <w:rsid w:val="004F756F"/>
    <w:rsid w:val="004F7BB6"/>
    <w:rsid w:val="005001A3"/>
    <w:rsid w:val="005007BF"/>
    <w:rsid w:val="005029B2"/>
    <w:rsid w:val="005036DA"/>
    <w:rsid w:val="00503BE3"/>
    <w:rsid w:val="005040BD"/>
    <w:rsid w:val="005042F3"/>
    <w:rsid w:val="00504880"/>
    <w:rsid w:val="0050497D"/>
    <w:rsid w:val="005052C9"/>
    <w:rsid w:val="005053FB"/>
    <w:rsid w:val="00505420"/>
    <w:rsid w:val="00505BC5"/>
    <w:rsid w:val="00505E1C"/>
    <w:rsid w:val="00506961"/>
    <w:rsid w:val="00506B88"/>
    <w:rsid w:val="0050702A"/>
    <w:rsid w:val="005102BC"/>
    <w:rsid w:val="00511F61"/>
    <w:rsid w:val="005121D8"/>
    <w:rsid w:val="0051462C"/>
    <w:rsid w:val="0051496C"/>
    <w:rsid w:val="00514B79"/>
    <w:rsid w:val="00514DF2"/>
    <w:rsid w:val="00514FDA"/>
    <w:rsid w:val="00516BCA"/>
    <w:rsid w:val="00516EB5"/>
    <w:rsid w:val="005175E0"/>
    <w:rsid w:val="00520546"/>
    <w:rsid w:val="00520743"/>
    <w:rsid w:val="00520FEA"/>
    <w:rsid w:val="00521C79"/>
    <w:rsid w:val="00522479"/>
    <w:rsid w:val="00522658"/>
    <w:rsid w:val="00523338"/>
    <w:rsid w:val="00523A75"/>
    <w:rsid w:val="0052438A"/>
    <w:rsid w:val="00525201"/>
    <w:rsid w:val="005256AF"/>
    <w:rsid w:val="00525CF3"/>
    <w:rsid w:val="00525DD9"/>
    <w:rsid w:val="005260AD"/>
    <w:rsid w:val="005263F7"/>
    <w:rsid w:val="00526CB4"/>
    <w:rsid w:val="00526E67"/>
    <w:rsid w:val="005276E5"/>
    <w:rsid w:val="00527F9E"/>
    <w:rsid w:val="00530CE6"/>
    <w:rsid w:val="00531E00"/>
    <w:rsid w:val="00532C41"/>
    <w:rsid w:val="00533201"/>
    <w:rsid w:val="00533EC6"/>
    <w:rsid w:val="005346F1"/>
    <w:rsid w:val="00534B00"/>
    <w:rsid w:val="00534CBB"/>
    <w:rsid w:val="005354C4"/>
    <w:rsid w:val="005370BC"/>
    <w:rsid w:val="005374AC"/>
    <w:rsid w:val="0053773A"/>
    <w:rsid w:val="005377F6"/>
    <w:rsid w:val="00540A6F"/>
    <w:rsid w:val="0054190F"/>
    <w:rsid w:val="00541B8E"/>
    <w:rsid w:val="00541C4C"/>
    <w:rsid w:val="00543232"/>
    <w:rsid w:val="005436BA"/>
    <w:rsid w:val="00543839"/>
    <w:rsid w:val="00543F98"/>
    <w:rsid w:val="00546DC5"/>
    <w:rsid w:val="0054763B"/>
    <w:rsid w:val="0055121B"/>
    <w:rsid w:val="00551F8F"/>
    <w:rsid w:val="00552309"/>
    <w:rsid w:val="0055496A"/>
    <w:rsid w:val="00554EA5"/>
    <w:rsid w:val="00555AFC"/>
    <w:rsid w:val="005560B2"/>
    <w:rsid w:val="00556917"/>
    <w:rsid w:val="00557491"/>
    <w:rsid w:val="0055777F"/>
    <w:rsid w:val="005579F6"/>
    <w:rsid w:val="00560250"/>
    <w:rsid w:val="005609A6"/>
    <w:rsid w:val="0056106B"/>
    <w:rsid w:val="005613B5"/>
    <w:rsid w:val="0056140A"/>
    <w:rsid w:val="00562637"/>
    <w:rsid w:val="0056651A"/>
    <w:rsid w:val="00566C01"/>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1AA6"/>
    <w:rsid w:val="00581AE0"/>
    <w:rsid w:val="00582D4B"/>
    <w:rsid w:val="00582FCE"/>
    <w:rsid w:val="005840F8"/>
    <w:rsid w:val="00584403"/>
    <w:rsid w:val="005849A7"/>
    <w:rsid w:val="00585266"/>
    <w:rsid w:val="005865BB"/>
    <w:rsid w:val="00586A0F"/>
    <w:rsid w:val="00587391"/>
    <w:rsid w:val="005902D9"/>
    <w:rsid w:val="00591229"/>
    <w:rsid w:val="00592C82"/>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0FC2"/>
    <w:rsid w:val="005A28E5"/>
    <w:rsid w:val="005A2B7F"/>
    <w:rsid w:val="005A3CB5"/>
    <w:rsid w:val="005A4773"/>
    <w:rsid w:val="005A4A68"/>
    <w:rsid w:val="005A4EAA"/>
    <w:rsid w:val="005A532D"/>
    <w:rsid w:val="005A53DB"/>
    <w:rsid w:val="005A6E8F"/>
    <w:rsid w:val="005A7BD4"/>
    <w:rsid w:val="005B0BBC"/>
    <w:rsid w:val="005B0BF3"/>
    <w:rsid w:val="005B14FF"/>
    <w:rsid w:val="005B156D"/>
    <w:rsid w:val="005B1CD7"/>
    <w:rsid w:val="005B289F"/>
    <w:rsid w:val="005B2DC1"/>
    <w:rsid w:val="005B3355"/>
    <w:rsid w:val="005B3493"/>
    <w:rsid w:val="005B34D4"/>
    <w:rsid w:val="005B4D11"/>
    <w:rsid w:val="005B5DFA"/>
    <w:rsid w:val="005C0A7E"/>
    <w:rsid w:val="005C1ACA"/>
    <w:rsid w:val="005C2F38"/>
    <w:rsid w:val="005C35E6"/>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E7F41"/>
    <w:rsid w:val="005F03B9"/>
    <w:rsid w:val="005F03D4"/>
    <w:rsid w:val="005F0425"/>
    <w:rsid w:val="005F0BB6"/>
    <w:rsid w:val="005F2532"/>
    <w:rsid w:val="005F3967"/>
    <w:rsid w:val="005F3A8D"/>
    <w:rsid w:val="005F400D"/>
    <w:rsid w:val="005F5031"/>
    <w:rsid w:val="005F603E"/>
    <w:rsid w:val="005F62B1"/>
    <w:rsid w:val="005F6690"/>
    <w:rsid w:val="005F7C43"/>
    <w:rsid w:val="0060058D"/>
    <w:rsid w:val="006005FD"/>
    <w:rsid w:val="00600FE0"/>
    <w:rsid w:val="00601D24"/>
    <w:rsid w:val="00601D34"/>
    <w:rsid w:val="00602457"/>
    <w:rsid w:val="0060264B"/>
    <w:rsid w:val="00602F6E"/>
    <w:rsid w:val="0060550A"/>
    <w:rsid w:val="00613208"/>
    <w:rsid w:val="0061342F"/>
    <w:rsid w:val="00613B56"/>
    <w:rsid w:val="00613D7E"/>
    <w:rsid w:val="0061407C"/>
    <w:rsid w:val="006147C9"/>
    <w:rsid w:val="00615A64"/>
    <w:rsid w:val="00615AE4"/>
    <w:rsid w:val="00616E62"/>
    <w:rsid w:val="006170D2"/>
    <w:rsid w:val="00617EA2"/>
    <w:rsid w:val="0062197D"/>
    <w:rsid w:val="00621A6E"/>
    <w:rsid w:val="00622075"/>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435"/>
    <w:rsid w:val="006326F1"/>
    <w:rsid w:val="0063438C"/>
    <w:rsid w:val="0063581F"/>
    <w:rsid w:val="00637A2C"/>
    <w:rsid w:val="00637BFA"/>
    <w:rsid w:val="00637CDC"/>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550"/>
    <w:rsid w:val="00662586"/>
    <w:rsid w:val="00662906"/>
    <w:rsid w:val="00664278"/>
    <w:rsid w:val="006644C6"/>
    <w:rsid w:val="006646E2"/>
    <w:rsid w:val="006661E5"/>
    <w:rsid w:val="00666E97"/>
    <w:rsid w:val="00673A7D"/>
    <w:rsid w:val="00674442"/>
    <w:rsid w:val="00674638"/>
    <w:rsid w:val="00674ACF"/>
    <w:rsid w:val="00675D3A"/>
    <w:rsid w:val="00676297"/>
    <w:rsid w:val="0067637D"/>
    <w:rsid w:val="00683F57"/>
    <w:rsid w:val="006843DD"/>
    <w:rsid w:val="0068602E"/>
    <w:rsid w:val="00686293"/>
    <w:rsid w:val="006863BF"/>
    <w:rsid w:val="0068732E"/>
    <w:rsid w:val="006879C9"/>
    <w:rsid w:val="00687B18"/>
    <w:rsid w:val="0069139A"/>
    <w:rsid w:val="00691D59"/>
    <w:rsid w:val="00693300"/>
    <w:rsid w:val="006949B5"/>
    <w:rsid w:val="006954BA"/>
    <w:rsid w:val="00695912"/>
    <w:rsid w:val="00697064"/>
    <w:rsid w:val="0069744E"/>
    <w:rsid w:val="00697B67"/>
    <w:rsid w:val="006A01D7"/>
    <w:rsid w:val="006A0D1F"/>
    <w:rsid w:val="006A0FC7"/>
    <w:rsid w:val="006A1CDE"/>
    <w:rsid w:val="006A1CF1"/>
    <w:rsid w:val="006A1F5B"/>
    <w:rsid w:val="006A2F4C"/>
    <w:rsid w:val="006A437D"/>
    <w:rsid w:val="006A4E4C"/>
    <w:rsid w:val="006A546C"/>
    <w:rsid w:val="006A6565"/>
    <w:rsid w:val="006A72D1"/>
    <w:rsid w:val="006A7ABF"/>
    <w:rsid w:val="006B0265"/>
    <w:rsid w:val="006B2525"/>
    <w:rsid w:val="006B2F2A"/>
    <w:rsid w:val="006B3772"/>
    <w:rsid w:val="006B3A83"/>
    <w:rsid w:val="006B3B81"/>
    <w:rsid w:val="006B3F63"/>
    <w:rsid w:val="006B4CD6"/>
    <w:rsid w:val="006B4E6F"/>
    <w:rsid w:val="006B5051"/>
    <w:rsid w:val="006B589F"/>
    <w:rsid w:val="006B5B75"/>
    <w:rsid w:val="006B5CA4"/>
    <w:rsid w:val="006B6916"/>
    <w:rsid w:val="006B7A45"/>
    <w:rsid w:val="006B7C09"/>
    <w:rsid w:val="006C03D6"/>
    <w:rsid w:val="006C0829"/>
    <w:rsid w:val="006C0F4A"/>
    <w:rsid w:val="006C13C2"/>
    <w:rsid w:val="006C3505"/>
    <w:rsid w:val="006C4961"/>
    <w:rsid w:val="006C4E5E"/>
    <w:rsid w:val="006C54B7"/>
    <w:rsid w:val="006C5DC3"/>
    <w:rsid w:val="006C66E6"/>
    <w:rsid w:val="006C67B9"/>
    <w:rsid w:val="006C7316"/>
    <w:rsid w:val="006C733A"/>
    <w:rsid w:val="006D203B"/>
    <w:rsid w:val="006D2304"/>
    <w:rsid w:val="006D2A6D"/>
    <w:rsid w:val="006D2CBF"/>
    <w:rsid w:val="006D4BC8"/>
    <w:rsid w:val="006D4E56"/>
    <w:rsid w:val="006D4FC7"/>
    <w:rsid w:val="006D64FA"/>
    <w:rsid w:val="006D6865"/>
    <w:rsid w:val="006D70FF"/>
    <w:rsid w:val="006D76CD"/>
    <w:rsid w:val="006E1648"/>
    <w:rsid w:val="006E1680"/>
    <w:rsid w:val="006E1967"/>
    <w:rsid w:val="006E321C"/>
    <w:rsid w:val="006E32CE"/>
    <w:rsid w:val="006E4216"/>
    <w:rsid w:val="006E4D3D"/>
    <w:rsid w:val="006E7D3A"/>
    <w:rsid w:val="006F1C29"/>
    <w:rsid w:val="006F289B"/>
    <w:rsid w:val="006F2C3A"/>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116FE"/>
    <w:rsid w:val="0071270D"/>
    <w:rsid w:val="00712912"/>
    <w:rsid w:val="00713109"/>
    <w:rsid w:val="00713C99"/>
    <w:rsid w:val="00713D61"/>
    <w:rsid w:val="007147C5"/>
    <w:rsid w:val="00715EF6"/>
    <w:rsid w:val="0071670B"/>
    <w:rsid w:val="00721B29"/>
    <w:rsid w:val="00721E11"/>
    <w:rsid w:val="00721E7C"/>
    <w:rsid w:val="0072236D"/>
    <w:rsid w:val="00723434"/>
    <w:rsid w:val="00724416"/>
    <w:rsid w:val="00725EF5"/>
    <w:rsid w:val="00725FDA"/>
    <w:rsid w:val="00726BE5"/>
    <w:rsid w:val="007278A9"/>
    <w:rsid w:val="00730008"/>
    <w:rsid w:val="0073288E"/>
    <w:rsid w:val="00733709"/>
    <w:rsid w:val="00734054"/>
    <w:rsid w:val="007345DF"/>
    <w:rsid w:val="0073488B"/>
    <w:rsid w:val="00735D0F"/>
    <w:rsid w:val="00736CC6"/>
    <w:rsid w:val="00736D17"/>
    <w:rsid w:val="007377E2"/>
    <w:rsid w:val="00740405"/>
    <w:rsid w:val="007408F5"/>
    <w:rsid w:val="00740EA2"/>
    <w:rsid w:val="00741459"/>
    <w:rsid w:val="00741A88"/>
    <w:rsid w:val="00741BB0"/>
    <w:rsid w:val="00742B16"/>
    <w:rsid w:val="00743188"/>
    <w:rsid w:val="007433CD"/>
    <w:rsid w:val="00743717"/>
    <w:rsid w:val="00743F9A"/>
    <w:rsid w:val="00744C74"/>
    <w:rsid w:val="00744C89"/>
    <w:rsid w:val="00744E0C"/>
    <w:rsid w:val="00744F6F"/>
    <w:rsid w:val="007452AE"/>
    <w:rsid w:val="00746C7F"/>
    <w:rsid w:val="00746FA1"/>
    <w:rsid w:val="00747349"/>
    <w:rsid w:val="00747572"/>
    <w:rsid w:val="0075005D"/>
    <w:rsid w:val="007507C2"/>
    <w:rsid w:val="00750BBA"/>
    <w:rsid w:val="00750E0B"/>
    <w:rsid w:val="00750E35"/>
    <w:rsid w:val="00751616"/>
    <w:rsid w:val="00752E51"/>
    <w:rsid w:val="00754828"/>
    <w:rsid w:val="00755030"/>
    <w:rsid w:val="00755678"/>
    <w:rsid w:val="007559FE"/>
    <w:rsid w:val="0075613C"/>
    <w:rsid w:val="00756DC1"/>
    <w:rsid w:val="00757474"/>
    <w:rsid w:val="00757CC8"/>
    <w:rsid w:val="00761171"/>
    <w:rsid w:val="007616B8"/>
    <w:rsid w:val="00761706"/>
    <w:rsid w:val="007626D3"/>
    <w:rsid w:val="00763114"/>
    <w:rsid w:val="00764144"/>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75FC8"/>
    <w:rsid w:val="00782C8A"/>
    <w:rsid w:val="007844BE"/>
    <w:rsid w:val="0078471A"/>
    <w:rsid w:val="00786A72"/>
    <w:rsid w:val="00787B8A"/>
    <w:rsid w:val="00790486"/>
    <w:rsid w:val="0079102B"/>
    <w:rsid w:val="00792345"/>
    <w:rsid w:val="00792F10"/>
    <w:rsid w:val="00794512"/>
    <w:rsid w:val="00794A0D"/>
    <w:rsid w:val="00794DF0"/>
    <w:rsid w:val="007A0156"/>
    <w:rsid w:val="007A1EDC"/>
    <w:rsid w:val="007A2B08"/>
    <w:rsid w:val="007A31EB"/>
    <w:rsid w:val="007A3826"/>
    <w:rsid w:val="007A4758"/>
    <w:rsid w:val="007A5FB3"/>
    <w:rsid w:val="007A6FDA"/>
    <w:rsid w:val="007A7863"/>
    <w:rsid w:val="007B079D"/>
    <w:rsid w:val="007B557C"/>
    <w:rsid w:val="007B7D73"/>
    <w:rsid w:val="007C0474"/>
    <w:rsid w:val="007C0818"/>
    <w:rsid w:val="007C0A67"/>
    <w:rsid w:val="007C107E"/>
    <w:rsid w:val="007C1416"/>
    <w:rsid w:val="007C14E9"/>
    <w:rsid w:val="007C16DF"/>
    <w:rsid w:val="007C1DA9"/>
    <w:rsid w:val="007C2937"/>
    <w:rsid w:val="007C4603"/>
    <w:rsid w:val="007C4BCE"/>
    <w:rsid w:val="007C4D1A"/>
    <w:rsid w:val="007C5D2C"/>
    <w:rsid w:val="007C6588"/>
    <w:rsid w:val="007C7403"/>
    <w:rsid w:val="007C7EDB"/>
    <w:rsid w:val="007D0094"/>
    <w:rsid w:val="007D01E5"/>
    <w:rsid w:val="007D09BB"/>
    <w:rsid w:val="007D0DD5"/>
    <w:rsid w:val="007D19C6"/>
    <w:rsid w:val="007D291F"/>
    <w:rsid w:val="007D3EC5"/>
    <w:rsid w:val="007D4559"/>
    <w:rsid w:val="007D4732"/>
    <w:rsid w:val="007D510A"/>
    <w:rsid w:val="007D549A"/>
    <w:rsid w:val="007D649A"/>
    <w:rsid w:val="007D6BCD"/>
    <w:rsid w:val="007D7C3E"/>
    <w:rsid w:val="007E027B"/>
    <w:rsid w:val="007E0399"/>
    <w:rsid w:val="007E0E28"/>
    <w:rsid w:val="007E174F"/>
    <w:rsid w:val="007E18CE"/>
    <w:rsid w:val="007E1AAB"/>
    <w:rsid w:val="007E2208"/>
    <w:rsid w:val="007E23D9"/>
    <w:rsid w:val="007E3D90"/>
    <w:rsid w:val="007E4849"/>
    <w:rsid w:val="007E7637"/>
    <w:rsid w:val="007E7D3F"/>
    <w:rsid w:val="007F162A"/>
    <w:rsid w:val="007F1C84"/>
    <w:rsid w:val="007F36C8"/>
    <w:rsid w:val="007F3917"/>
    <w:rsid w:val="007F3A50"/>
    <w:rsid w:val="007F4772"/>
    <w:rsid w:val="007F6161"/>
    <w:rsid w:val="007F63DD"/>
    <w:rsid w:val="007F79BF"/>
    <w:rsid w:val="007F7A85"/>
    <w:rsid w:val="00800105"/>
    <w:rsid w:val="00800251"/>
    <w:rsid w:val="0080038C"/>
    <w:rsid w:val="0080110F"/>
    <w:rsid w:val="0080210E"/>
    <w:rsid w:val="00802872"/>
    <w:rsid w:val="00803D62"/>
    <w:rsid w:val="008042BD"/>
    <w:rsid w:val="00804B7B"/>
    <w:rsid w:val="00805690"/>
    <w:rsid w:val="00806056"/>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C58"/>
    <w:rsid w:val="00820F8C"/>
    <w:rsid w:val="0082177D"/>
    <w:rsid w:val="0082358A"/>
    <w:rsid w:val="00824E69"/>
    <w:rsid w:val="00824FAD"/>
    <w:rsid w:val="0082509B"/>
    <w:rsid w:val="00832E6B"/>
    <w:rsid w:val="00832F1E"/>
    <w:rsid w:val="0083336C"/>
    <w:rsid w:val="008345AE"/>
    <w:rsid w:val="00834925"/>
    <w:rsid w:val="00834C61"/>
    <w:rsid w:val="0083685F"/>
    <w:rsid w:val="00836ABF"/>
    <w:rsid w:val="00837339"/>
    <w:rsid w:val="0083744D"/>
    <w:rsid w:val="0084188F"/>
    <w:rsid w:val="00841D94"/>
    <w:rsid w:val="00842E59"/>
    <w:rsid w:val="0084343F"/>
    <w:rsid w:val="00844A23"/>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0E83"/>
    <w:rsid w:val="0087150A"/>
    <w:rsid w:val="00871B4D"/>
    <w:rsid w:val="00871CDC"/>
    <w:rsid w:val="0087211E"/>
    <w:rsid w:val="00872840"/>
    <w:rsid w:val="00872E89"/>
    <w:rsid w:val="008741BC"/>
    <w:rsid w:val="00874A56"/>
    <w:rsid w:val="00875CF8"/>
    <w:rsid w:val="00877459"/>
    <w:rsid w:val="00880776"/>
    <w:rsid w:val="00880B6F"/>
    <w:rsid w:val="00880D53"/>
    <w:rsid w:val="008814B9"/>
    <w:rsid w:val="0088393A"/>
    <w:rsid w:val="008848DC"/>
    <w:rsid w:val="00884C0E"/>
    <w:rsid w:val="00885946"/>
    <w:rsid w:val="00885C46"/>
    <w:rsid w:val="00887699"/>
    <w:rsid w:val="008903E1"/>
    <w:rsid w:val="00890DA4"/>
    <w:rsid w:val="00891378"/>
    <w:rsid w:val="00891871"/>
    <w:rsid w:val="00891A7D"/>
    <w:rsid w:val="00892F8A"/>
    <w:rsid w:val="0089302E"/>
    <w:rsid w:val="00893DE6"/>
    <w:rsid w:val="0089426E"/>
    <w:rsid w:val="008948D4"/>
    <w:rsid w:val="00895096"/>
    <w:rsid w:val="008955E2"/>
    <w:rsid w:val="008958D1"/>
    <w:rsid w:val="00896EA4"/>
    <w:rsid w:val="00897546"/>
    <w:rsid w:val="008A002B"/>
    <w:rsid w:val="008A09E3"/>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0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398"/>
    <w:rsid w:val="008E1BEB"/>
    <w:rsid w:val="008E1DE7"/>
    <w:rsid w:val="008E1F63"/>
    <w:rsid w:val="008E3ACC"/>
    <w:rsid w:val="008E3D20"/>
    <w:rsid w:val="008E4174"/>
    <w:rsid w:val="008E45C0"/>
    <w:rsid w:val="008E517D"/>
    <w:rsid w:val="008E6DF6"/>
    <w:rsid w:val="008E74E3"/>
    <w:rsid w:val="008E7E06"/>
    <w:rsid w:val="008F0A57"/>
    <w:rsid w:val="008F0C24"/>
    <w:rsid w:val="008F0DB6"/>
    <w:rsid w:val="008F132A"/>
    <w:rsid w:val="008F164E"/>
    <w:rsid w:val="008F2129"/>
    <w:rsid w:val="008F2281"/>
    <w:rsid w:val="008F24FD"/>
    <w:rsid w:val="008F2FE7"/>
    <w:rsid w:val="008F4D19"/>
    <w:rsid w:val="00900237"/>
    <w:rsid w:val="0090068E"/>
    <w:rsid w:val="00900A45"/>
    <w:rsid w:val="00900D2C"/>
    <w:rsid w:val="00901E7D"/>
    <w:rsid w:val="009030AC"/>
    <w:rsid w:val="009059FB"/>
    <w:rsid w:val="009060D6"/>
    <w:rsid w:val="00906F95"/>
    <w:rsid w:val="0090797F"/>
    <w:rsid w:val="009104EE"/>
    <w:rsid w:val="00910677"/>
    <w:rsid w:val="0091129F"/>
    <w:rsid w:val="00911396"/>
    <w:rsid w:val="009113B9"/>
    <w:rsid w:val="00912103"/>
    <w:rsid w:val="00912C1C"/>
    <w:rsid w:val="0091347F"/>
    <w:rsid w:val="00913E26"/>
    <w:rsid w:val="009145C7"/>
    <w:rsid w:val="00916232"/>
    <w:rsid w:val="00916CDA"/>
    <w:rsid w:val="00917064"/>
    <w:rsid w:val="009174FC"/>
    <w:rsid w:val="0091789A"/>
    <w:rsid w:val="00917B0B"/>
    <w:rsid w:val="0092098B"/>
    <w:rsid w:val="00920C7B"/>
    <w:rsid w:val="00921456"/>
    <w:rsid w:val="0092177D"/>
    <w:rsid w:val="00921AB6"/>
    <w:rsid w:val="00922321"/>
    <w:rsid w:val="009224A1"/>
    <w:rsid w:val="0092263C"/>
    <w:rsid w:val="00922F9D"/>
    <w:rsid w:val="00922FBB"/>
    <w:rsid w:val="009235D6"/>
    <w:rsid w:val="009238A6"/>
    <w:rsid w:val="00924C62"/>
    <w:rsid w:val="00926614"/>
    <w:rsid w:val="0092728B"/>
    <w:rsid w:val="00927E8A"/>
    <w:rsid w:val="00931269"/>
    <w:rsid w:val="0093236F"/>
    <w:rsid w:val="0093242B"/>
    <w:rsid w:val="00932AEA"/>
    <w:rsid w:val="00932BC5"/>
    <w:rsid w:val="0093359A"/>
    <w:rsid w:val="009351D5"/>
    <w:rsid w:val="00936015"/>
    <w:rsid w:val="009361F9"/>
    <w:rsid w:val="00936481"/>
    <w:rsid w:val="00936660"/>
    <w:rsid w:val="009369D2"/>
    <w:rsid w:val="00937BF1"/>
    <w:rsid w:val="00937C46"/>
    <w:rsid w:val="00937F0E"/>
    <w:rsid w:val="009400FF"/>
    <w:rsid w:val="00941C19"/>
    <w:rsid w:val="00941CA0"/>
    <w:rsid w:val="00941D3A"/>
    <w:rsid w:val="00942712"/>
    <w:rsid w:val="009434F9"/>
    <w:rsid w:val="00943F97"/>
    <w:rsid w:val="0094520F"/>
    <w:rsid w:val="009458DE"/>
    <w:rsid w:val="00945A79"/>
    <w:rsid w:val="0094606E"/>
    <w:rsid w:val="0094694F"/>
    <w:rsid w:val="009507B6"/>
    <w:rsid w:val="00950EF8"/>
    <w:rsid w:val="00951444"/>
    <w:rsid w:val="00951A5F"/>
    <w:rsid w:val="00952014"/>
    <w:rsid w:val="0095743E"/>
    <w:rsid w:val="0095783A"/>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34A6"/>
    <w:rsid w:val="009749A8"/>
    <w:rsid w:val="00975B11"/>
    <w:rsid w:val="00976970"/>
    <w:rsid w:val="00976D4F"/>
    <w:rsid w:val="009779A0"/>
    <w:rsid w:val="0098034C"/>
    <w:rsid w:val="0098630E"/>
    <w:rsid w:val="00986A5E"/>
    <w:rsid w:val="00987920"/>
    <w:rsid w:val="00990218"/>
    <w:rsid w:val="00990549"/>
    <w:rsid w:val="009927B8"/>
    <w:rsid w:val="00993B07"/>
    <w:rsid w:val="009948E1"/>
    <w:rsid w:val="00994C26"/>
    <w:rsid w:val="009968EE"/>
    <w:rsid w:val="00996B1C"/>
    <w:rsid w:val="009977AB"/>
    <w:rsid w:val="009A0482"/>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2D89"/>
    <w:rsid w:val="009B3549"/>
    <w:rsid w:val="009B3C67"/>
    <w:rsid w:val="009B3CA7"/>
    <w:rsid w:val="009B41B2"/>
    <w:rsid w:val="009B51CB"/>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6E87"/>
    <w:rsid w:val="009C7248"/>
    <w:rsid w:val="009D0724"/>
    <w:rsid w:val="009D17F6"/>
    <w:rsid w:val="009D189D"/>
    <w:rsid w:val="009D31F2"/>
    <w:rsid w:val="009D4AD4"/>
    <w:rsid w:val="009D563B"/>
    <w:rsid w:val="009D79FE"/>
    <w:rsid w:val="009D7D8D"/>
    <w:rsid w:val="009D7F1E"/>
    <w:rsid w:val="009E04DD"/>
    <w:rsid w:val="009E0797"/>
    <w:rsid w:val="009E30ED"/>
    <w:rsid w:val="009E3ACB"/>
    <w:rsid w:val="009E51CF"/>
    <w:rsid w:val="009E5BE0"/>
    <w:rsid w:val="009E650A"/>
    <w:rsid w:val="009E7939"/>
    <w:rsid w:val="009E7B1E"/>
    <w:rsid w:val="009F0485"/>
    <w:rsid w:val="009F05D0"/>
    <w:rsid w:val="009F0896"/>
    <w:rsid w:val="009F13FC"/>
    <w:rsid w:val="009F1ABF"/>
    <w:rsid w:val="009F42A7"/>
    <w:rsid w:val="009F495F"/>
    <w:rsid w:val="009F5D3C"/>
    <w:rsid w:val="009F5DC6"/>
    <w:rsid w:val="009F6C7D"/>
    <w:rsid w:val="009F6EDF"/>
    <w:rsid w:val="009F7A58"/>
    <w:rsid w:val="00A00677"/>
    <w:rsid w:val="00A00805"/>
    <w:rsid w:val="00A00C54"/>
    <w:rsid w:val="00A01289"/>
    <w:rsid w:val="00A0258F"/>
    <w:rsid w:val="00A03794"/>
    <w:rsid w:val="00A03E08"/>
    <w:rsid w:val="00A041A9"/>
    <w:rsid w:val="00A07085"/>
    <w:rsid w:val="00A07F09"/>
    <w:rsid w:val="00A10A53"/>
    <w:rsid w:val="00A117BE"/>
    <w:rsid w:val="00A13085"/>
    <w:rsid w:val="00A13DA3"/>
    <w:rsid w:val="00A13FE7"/>
    <w:rsid w:val="00A1432E"/>
    <w:rsid w:val="00A15670"/>
    <w:rsid w:val="00A20D36"/>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9C7"/>
    <w:rsid w:val="00A33CF4"/>
    <w:rsid w:val="00A34F6C"/>
    <w:rsid w:val="00A36700"/>
    <w:rsid w:val="00A37803"/>
    <w:rsid w:val="00A37976"/>
    <w:rsid w:val="00A40107"/>
    <w:rsid w:val="00A402FD"/>
    <w:rsid w:val="00A41396"/>
    <w:rsid w:val="00A41D73"/>
    <w:rsid w:val="00A42B2E"/>
    <w:rsid w:val="00A42C5A"/>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06B"/>
    <w:rsid w:val="00A56FA6"/>
    <w:rsid w:val="00A579F8"/>
    <w:rsid w:val="00A57B57"/>
    <w:rsid w:val="00A57F1E"/>
    <w:rsid w:val="00A60353"/>
    <w:rsid w:val="00A619D8"/>
    <w:rsid w:val="00A6251F"/>
    <w:rsid w:val="00A62C43"/>
    <w:rsid w:val="00A63BB7"/>
    <w:rsid w:val="00A64313"/>
    <w:rsid w:val="00A653F3"/>
    <w:rsid w:val="00A6576A"/>
    <w:rsid w:val="00A66CEE"/>
    <w:rsid w:val="00A671BF"/>
    <w:rsid w:val="00A675B4"/>
    <w:rsid w:val="00A67E15"/>
    <w:rsid w:val="00A7073E"/>
    <w:rsid w:val="00A70C5E"/>
    <w:rsid w:val="00A70CCC"/>
    <w:rsid w:val="00A7225A"/>
    <w:rsid w:val="00A72D1F"/>
    <w:rsid w:val="00A746BD"/>
    <w:rsid w:val="00A74C50"/>
    <w:rsid w:val="00A779CA"/>
    <w:rsid w:val="00A801FB"/>
    <w:rsid w:val="00A813C4"/>
    <w:rsid w:val="00A82521"/>
    <w:rsid w:val="00A82ABE"/>
    <w:rsid w:val="00A84D06"/>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A6ADA"/>
    <w:rsid w:val="00AB01D5"/>
    <w:rsid w:val="00AB07FF"/>
    <w:rsid w:val="00AB095B"/>
    <w:rsid w:val="00AB16D9"/>
    <w:rsid w:val="00AB33D7"/>
    <w:rsid w:val="00AB3514"/>
    <w:rsid w:val="00AB41A5"/>
    <w:rsid w:val="00AB4FF0"/>
    <w:rsid w:val="00AB5816"/>
    <w:rsid w:val="00AB5A0B"/>
    <w:rsid w:val="00AB5FF5"/>
    <w:rsid w:val="00AB78D6"/>
    <w:rsid w:val="00AB7E38"/>
    <w:rsid w:val="00AC0185"/>
    <w:rsid w:val="00AC0199"/>
    <w:rsid w:val="00AC0670"/>
    <w:rsid w:val="00AC097F"/>
    <w:rsid w:val="00AC0CAA"/>
    <w:rsid w:val="00AC1414"/>
    <w:rsid w:val="00AC3056"/>
    <w:rsid w:val="00AC39A7"/>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0E64"/>
    <w:rsid w:val="00AF259B"/>
    <w:rsid w:val="00AF2F7E"/>
    <w:rsid w:val="00AF3225"/>
    <w:rsid w:val="00AF3B7B"/>
    <w:rsid w:val="00AF3D5A"/>
    <w:rsid w:val="00AF41AB"/>
    <w:rsid w:val="00AF66AD"/>
    <w:rsid w:val="00AF712B"/>
    <w:rsid w:val="00AF7640"/>
    <w:rsid w:val="00B01547"/>
    <w:rsid w:val="00B01889"/>
    <w:rsid w:val="00B026CE"/>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2B7D"/>
    <w:rsid w:val="00B133E8"/>
    <w:rsid w:val="00B13FEB"/>
    <w:rsid w:val="00B15D1F"/>
    <w:rsid w:val="00B16A62"/>
    <w:rsid w:val="00B16BA1"/>
    <w:rsid w:val="00B17740"/>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A1E"/>
    <w:rsid w:val="00B41CA9"/>
    <w:rsid w:val="00B4265E"/>
    <w:rsid w:val="00B42C82"/>
    <w:rsid w:val="00B42CF6"/>
    <w:rsid w:val="00B42E13"/>
    <w:rsid w:val="00B4307D"/>
    <w:rsid w:val="00B43B19"/>
    <w:rsid w:val="00B43F8D"/>
    <w:rsid w:val="00B4503E"/>
    <w:rsid w:val="00B46126"/>
    <w:rsid w:val="00B506BE"/>
    <w:rsid w:val="00B50FDA"/>
    <w:rsid w:val="00B512FE"/>
    <w:rsid w:val="00B52373"/>
    <w:rsid w:val="00B52794"/>
    <w:rsid w:val="00B52E70"/>
    <w:rsid w:val="00B53139"/>
    <w:rsid w:val="00B5353C"/>
    <w:rsid w:val="00B53E85"/>
    <w:rsid w:val="00B5475E"/>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268E"/>
    <w:rsid w:val="00B82E1E"/>
    <w:rsid w:val="00B82F92"/>
    <w:rsid w:val="00B8379F"/>
    <w:rsid w:val="00B84BCA"/>
    <w:rsid w:val="00B84E07"/>
    <w:rsid w:val="00B86834"/>
    <w:rsid w:val="00B86897"/>
    <w:rsid w:val="00B91541"/>
    <w:rsid w:val="00B92219"/>
    <w:rsid w:val="00B9399D"/>
    <w:rsid w:val="00B94DAE"/>
    <w:rsid w:val="00B95A58"/>
    <w:rsid w:val="00B978C6"/>
    <w:rsid w:val="00BA0D07"/>
    <w:rsid w:val="00BA11F0"/>
    <w:rsid w:val="00BA13A3"/>
    <w:rsid w:val="00BA1C0F"/>
    <w:rsid w:val="00BA2364"/>
    <w:rsid w:val="00BA2827"/>
    <w:rsid w:val="00BA2B5C"/>
    <w:rsid w:val="00BA3761"/>
    <w:rsid w:val="00BA4E90"/>
    <w:rsid w:val="00BA54D0"/>
    <w:rsid w:val="00BA5B76"/>
    <w:rsid w:val="00BA6C68"/>
    <w:rsid w:val="00BA7161"/>
    <w:rsid w:val="00BA7BD4"/>
    <w:rsid w:val="00BB0066"/>
    <w:rsid w:val="00BB1568"/>
    <w:rsid w:val="00BB2288"/>
    <w:rsid w:val="00BB2910"/>
    <w:rsid w:val="00BB3016"/>
    <w:rsid w:val="00BB3521"/>
    <w:rsid w:val="00BB368C"/>
    <w:rsid w:val="00BB39B5"/>
    <w:rsid w:val="00BB4376"/>
    <w:rsid w:val="00BB6B7A"/>
    <w:rsid w:val="00BB74CD"/>
    <w:rsid w:val="00BB7985"/>
    <w:rsid w:val="00BC10B1"/>
    <w:rsid w:val="00BC14C3"/>
    <w:rsid w:val="00BC1AD7"/>
    <w:rsid w:val="00BC1CBA"/>
    <w:rsid w:val="00BC1D4E"/>
    <w:rsid w:val="00BC2B68"/>
    <w:rsid w:val="00BC3AEA"/>
    <w:rsid w:val="00BC464C"/>
    <w:rsid w:val="00BC4859"/>
    <w:rsid w:val="00BC4AD8"/>
    <w:rsid w:val="00BC4B8D"/>
    <w:rsid w:val="00BC4C31"/>
    <w:rsid w:val="00BC5470"/>
    <w:rsid w:val="00BC55DF"/>
    <w:rsid w:val="00BC575F"/>
    <w:rsid w:val="00BC5846"/>
    <w:rsid w:val="00BC601F"/>
    <w:rsid w:val="00BC6F10"/>
    <w:rsid w:val="00BC753F"/>
    <w:rsid w:val="00BC781E"/>
    <w:rsid w:val="00BC7DEF"/>
    <w:rsid w:val="00BC7E81"/>
    <w:rsid w:val="00BD0BF3"/>
    <w:rsid w:val="00BD0E05"/>
    <w:rsid w:val="00BD19B5"/>
    <w:rsid w:val="00BD19FE"/>
    <w:rsid w:val="00BD1D9C"/>
    <w:rsid w:val="00BD21BC"/>
    <w:rsid w:val="00BD237C"/>
    <w:rsid w:val="00BD48C2"/>
    <w:rsid w:val="00BD4FCB"/>
    <w:rsid w:val="00BD5403"/>
    <w:rsid w:val="00BD6669"/>
    <w:rsid w:val="00BD685D"/>
    <w:rsid w:val="00BD6ADD"/>
    <w:rsid w:val="00BD725C"/>
    <w:rsid w:val="00BD7E2C"/>
    <w:rsid w:val="00BE26FE"/>
    <w:rsid w:val="00BE27FF"/>
    <w:rsid w:val="00BE34A0"/>
    <w:rsid w:val="00BE35B5"/>
    <w:rsid w:val="00BE3FF1"/>
    <w:rsid w:val="00BE42A2"/>
    <w:rsid w:val="00BE52AB"/>
    <w:rsid w:val="00BE5A19"/>
    <w:rsid w:val="00BE62E3"/>
    <w:rsid w:val="00BE7448"/>
    <w:rsid w:val="00BF0619"/>
    <w:rsid w:val="00BF0A08"/>
    <w:rsid w:val="00BF13D0"/>
    <w:rsid w:val="00BF1B7F"/>
    <w:rsid w:val="00BF2C97"/>
    <w:rsid w:val="00BF30DA"/>
    <w:rsid w:val="00BF30FD"/>
    <w:rsid w:val="00BF3234"/>
    <w:rsid w:val="00BF408A"/>
    <w:rsid w:val="00BF45E6"/>
    <w:rsid w:val="00BF48D5"/>
    <w:rsid w:val="00BF55AE"/>
    <w:rsid w:val="00BF637F"/>
    <w:rsid w:val="00BF7735"/>
    <w:rsid w:val="00BF7DEE"/>
    <w:rsid w:val="00C0141F"/>
    <w:rsid w:val="00C02844"/>
    <w:rsid w:val="00C04243"/>
    <w:rsid w:val="00C05A4D"/>
    <w:rsid w:val="00C06B72"/>
    <w:rsid w:val="00C06C6D"/>
    <w:rsid w:val="00C0732D"/>
    <w:rsid w:val="00C07C15"/>
    <w:rsid w:val="00C07D47"/>
    <w:rsid w:val="00C10807"/>
    <w:rsid w:val="00C108F7"/>
    <w:rsid w:val="00C1178C"/>
    <w:rsid w:val="00C1292D"/>
    <w:rsid w:val="00C12B94"/>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6B6B"/>
    <w:rsid w:val="00C271CB"/>
    <w:rsid w:val="00C27207"/>
    <w:rsid w:val="00C274A5"/>
    <w:rsid w:val="00C27869"/>
    <w:rsid w:val="00C27A58"/>
    <w:rsid w:val="00C27CAF"/>
    <w:rsid w:val="00C30316"/>
    <w:rsid w:val="00C31E7E"/>
    <w:rsid w:val="00C329D6"/>
    <w:rsid w:val="00C32BEC"/>
    <w:rsid w:val="00C32D1F"/>
    <w:rsid w:val="00C32E00"/>
    <w:rsid w:val="00C35FF3"/>
    <w:rsid w:val="00C37D25"/>
    <w:rsid w:val="00C40D77"/>
    <w:rsid w:val="00C4362F"/>
    <w:rsid w:val="00C43835"/>
    <w:rsid w:val="00C44055"/>
    <w:rsid w:val="00C44AEE"/>
    <w:rsid w:val="00C451C3"/>
    <w:rsid w:val="00C46124"/>
    <w:rsid w:val="00C46ABE"/>
    <w:rsid w:val="00C508A6"/>
    <w:rsid w:val="00C5158D"/>
    <w:rsid w:val="00C5161E"/>
    <w:rsid w:val="00C54B8E"/>
    <w:rsid w:val="00C5545A"/>
    <w:rsid w:val="00C557F9"/>
    <w:rsid w:val="00C55DF2"/>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4030"/>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4761"/>
    <w:rsid w:val="00C85490"/>
    <w:rsid w:val="00C860A1"/>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224D"/>
    <w:rsid w:val="00CB3AC5"/>
    <w:rsid w:val="00CB72DD"/>
    <w:rsid w:val="00CB7C76"/>
    <w:rsid w:val="00CC0B72"/>
    <w:rsid w:val="00CC16D1"/>
    <w:rsid w:val="00CC1987"/>
    <w:rsid w:val="00CC1C17"/>
    <w:rsid w:val="00CC218C"/>
    <w:rsid w:val="00CC3A65"/>
    <w:rsid w:val="00CC3A8B"/>
    <w:rsid w:val="00CC5EEF"/>
    <w:rsid w:val="00CC5FEC"/>
    <w:rsid w:val="00CC6F27"/>
    <w:rsid w:val="00CC771B"/>
    <w:rsid w:val="00CD0C86"/>
    <w:rsid w:val="00CD10D7"/>
    <w:rsid w:val="00CD2E92"/>
    <w:rsid w:val="00CD2FDC"/>
    <w:rsid w:val="00CD33AF"/>
    <w:rsid w:val="00CD49A0"/>
    <w:rsid w:val="00CD4CC6"/>
    <w:rsid w:val="00CD5E27"/>
    <w:rsid w:val="00CD7D5F"/>
    <w:rsid w:val="00CD7F35"/>
    <w:rsid w:val="00CE032A"/>
    <w:rsid w:val="00CE0BC2"/>
    <w:rsid w:val="00CE1478"/>
    <w:rsid w:val="00CE1EB6"/>
    <w:rsid w:val="00CE2D12"/>
    <w:rsid w:val="00CE2DE6"/>
    <w:rsid w:val="00CE3A39"/>
    <w:rsid w:val="00CE3CF9"/>
    <w:rsid w:val="00CE42C7"/>
    <w:rsid w:val="00CE50F7"/>
    <w:rsid w:val="00CE63C2"/>
    <w:rsid w:val="00CE76DE"/>
    <w:rsid w:val="00CF0985"/>
    <w:rsid w:val="00CF138D"/>
    <w:rsid w:val="00CF14AF"/>
    <w:rsid w:val="00CF406D"/>
    <w:rsid w:val="00CF5C38"/>
    <w:rsid w:val="00CF693D"/>
    <w:rsid w:val="00CF6EA4"/>
    <w:rsid w:val="00CF70DB"/>
    <w:rsid w:val="00CF7A89"/>
    <w:rsid w:val="00D00178"/>
    <w:rsid w:val="00D002F6"/>
    <w:rsid w:val="00D00682"/>
    <w:rsid w:val="00D027C4"/>
    <w:rsid w:val="00D03E61"/>
    <w:rsid w:val="00D04275"/>
    <w:rsid w:val="00D045A2"/>
    <w:rsid w:val="00D0548B"/>
    <w:rsid w:val="00D0752F"/>
    <w:rsid w:val="00D075B0"/>
    <w:rsid w:val="00D07784"/>
    <w:rsid w:val="00D07E43"/>
    <w:rsid w:val="00D102BF"/>
    <w:rsid w:val="00D10E84"/>
    <w:rsid w:val="00D1130E"/>
    <w:rsid w:val="00D12234"/>
    <w:rsid w:val="00D1289F"/>
    <w:rsid w:val="00D138FB"/>
    <w:rsid w:val="00D13E68"/>
    <w:rsid w:val="00D14857"/>
    <w:rsid w:val="00D15371"/>
    <w:rsid w:val="00D15415"/>
    <w:rsid w:val="00D15FDF"/>
    <w:rsid w:val="00D17873"/>
    <w:rsid w:val="00D207F1"/>
    <w:rsid w:val="00D207FE"/>
    <w:rsid w:val="00D22A9C"/>
    <w:rsid w:val="00D24299"/>
    <w:rsid w:val="00D24BD4"/>
    <w:rsid w:val="00D26E3D"/>
    <w:rsid w:val="00D306B4"/>
    <w:rsid w:val="00D30BF6"/>
    <w:rsid w:val="00D315D9"/>
    <w:rsid w:val="00D31CCC"/>
    <w:rsid w:val="00D324F8"/>
    <w:rsid w:val="00D3266F"/>
    <w:rsid w:val="00D32F4E"/>
    <w:rsid w:val="00D3474C"/>
    <w:rsid w:val="00D35047"/>
    <w:rsid w:val="00D3638C"/>
    <w:rsid w:val="00D36A9A"/>
    <w:rsid w:val="00D36CCB"/>
    <w:rsid w:val="00D37234"/>
    <w:rsid w:val="00D374D4"/>
    <w:rsid w:val="00D37A98"/>
    <w:rsid w:val="00D40C39"/>
    <w:rsid w:val="00D413A5"/>
    <w:rsid w:val="00D41698"/>
    <w:rsid w:val="00D41A4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3ED"/>
    <w:rsid w:val="00D5682F"/>
    <w:rsid w:val="00D57B31"/>
    <w:rsid w:val="00D61C0B"/>
    <w:rsid w:val="00D63123"/>
    <w:rsid w:val="00D651BE"/>
    <w:rsid w:val="00D65723"/>
    <w:rsid w:val="00D65E01"/>
    <w:rsid w:val="00D66A83"/>
    <w:rsid w:val="00D67318"/>
    <w:rsid w:val="00D71D98"/>
    <w:rsid w:val="00D72482"/>
    <w:rsid w:val="00D7289E"/>
    <w:rsid w:val="00D74696"/>
    <w:rsid w:val="00D74C26"/>
    <w:rsid w:val="00D7527C"/>
    <w:rsid w:val="00D7594C"/>
    <w:rsid w:val="00D77EB8"/>
    <w:rsid w:val="00D80458"/>
    <w:rsid w:val="00D81065"/>
    <w:rsid w:val="00D814D8"/>
    <w:rsid w:val="00D82507"/>
    <w:rsid w:val="00D85142"/>
    <w:rsid w:val="00D85499"/>
    <w:rsid w:val="00D85AAC"/>
    <w:rsid w:val="00D86715"/>
    <w:rsid w:val="00D87274"/>
    <w:rsid w:val="00D9053A"/>
    <w:rsid w:val="00D90EF4"/>
    <w:rsid w:val="00D91966"/>
    <w:rsid w:val="00D91FC6"/>
    <w:rsid w:val="00D928E7"/>
    <w:rsid w:val="00D92CF7"/>
    <w:rsid w:val="00D936A7"/>
    <w:rsid w:val="00D93A5E"/>
    <w:rsid w:val="00D93CFD"/>
    <w:rsid w:val="00D944C3"/>
    <w:rsid w:val="00D9457D"/>
    <w:rsid w:val="00D94721"/>
    <w:rsid w:val="00D95AE0"/>
    <w:rsid w:val="00D967E5"/>
    <w:rsid w:val="00D96F37"/>
    <w:rsid w:val="00D97974"/>
    <w:rsid w:val="00D97D4C"/>
    <w:rsid w:val="00DA1A02"/>
    <w:rsid w:val="00DA24AF"/>
    <w:rsid w:val="00DA2742"/>
    <w:rsid w:val="00DA2888"/>
    <w:rsid w:val="00DA29FE"/>
    <w:rsid w:val="00DA3754"/>
    <w:rsid w:val="00DA3CD3"/>
    <w:rsid w:val="00DA3D44"/>
    <w:rsid w:val="00DA42B3"/>
    <w:rsid w:val="00DA450C"/>
    <w:rsid w:val="00DA5704"/>
    <w:rsid w:val="00DA5F80"/>
    <w:rsid w:val="00DA626A"/>
    <w:rsid w:val="00DA633A"/>
    <w:rsid w:val="00DA6578"/>
    <w:rsid w:val="00DA713C"/>
    <w:rsid w:val="00DA7D1C"/>
    <w:rsid w:val="00DB2D27"/>
    <w:rsid w:val="00DB2E50"/>
    <w:rsid w:val="00DB301B"/>
    <w:rsid w:val="00DB364B"/>
    <w:rsid w:val="00DB3DB9"/>
    <w:rsid w:val="00DB4EF0"/>
    <w:rsid w:val="00DB5064"/>
    <w:rsid w:val="00DB59C7"/>
    <w:rsid w:val="00DB5C24"/>
    <w:rsid w:val="00DB6238"/>
    <w:rsid w:val="00DB62F7"/>
    <w:rsid w:val="00DB7540"/>
    <w:rsid w:val="00DC0767"/>
    <w:rsid w:val="00DC0F67"/>
    <w:rsid w:val="00DC1171"/>
    <w:rsid w:val="00DC41DC"/>
    <w:rsid w:val="00DC4F7A"/>
    <w:rsid w:val="00DC6888"/>
    <w:rsid w:val="00DC6EC7"/>
    <w:rsid w:val="00DC7553"/>
    <w:rsid w:val="00DD0097"/>
    <w:rsid w:val="00DD1560"/>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6F7"/>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487"/>
    <w:rsid w:val="00E3170B"/>
    <w:rsid w:val="00E31B1F"/>
    <w:rsid w:val="00E328CC"/>
    <w:rsid w:val="00E32F49"/>
    <w:rsid w:val="00E35BA4"/>
    <w:rsid w:val="00E36764"/>
    <w:rsid w:val="00E36E51"/>
    <w:rsid w:val="00E378C7"/>
    <w:rsid w:val="00E37D62"/>
    <w:rsid w:val="00E4068E"/>
    <w:rsid w:val="00E406C8"/>
    <w:rsid w:val="00E41969"/>
    <w:rsid w:val="00E41FF8"/>
    <w:rsid w:val="00E4277C"/>
    <w:rsid w:val="00E4319D"/>
    <w:rsid w:val="00E446A7"/>
    <w:rsid w:val="00E44741"/>
    <w:rsid w:val="00E46CE1"/>
    <w:rsid w:val="00E47250"/>
    <w:rsid w:val="00E50EBF"/>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3D47"/>
    <w:rsid w:val="00E84011"/>
    <w:rsid w:val="00E850E8"/>
    <w:rsid w:val="00E8535D"/>
    <w:rsid w:val="00E85AD0"/>
    <w:rsid w:val="00E8721F"/>
    <w:rsid w:val="00E87427"/>
    <w:rsid w:val="00E87F60"/>
    <w:rsid w:val="00E90C20"/>
    <w:rsid w:val="00E91FA2"/>
    <w:rsid w:val="00E9350D"/>
    <w:rsid w:val="00E94E72"/>
    <w:rsid w:val="00E95DC3"/>
    <w:rsid w:val="00E964CE"/>
    <w:rsid w:val="00EA0A04"/>
    <w:rsid w:val="00EA0A10"/>
    <w:rsid w:val="00EA0D42"/>
    <w:rsid w:val="00EA19C9"/>
    <w:rsid w:val="00EA2689"/>
    <w:rsid w:val="00EA2B42"/>
    <w:rsid w:val="00EA2C60"/>
    <w:rsid w:val="00EA57C6"/>
    <w:rsid w:val="00EA5A2B"/>
    <w:rsid w:val="00EA6134"/>
    <w:rsid w:val="00EA627D"/>
    <w:rsid w:val="00EA7667"/>
    <w:rsid w:val="00EA7D74"/>
    <w:rsid w:val="00EA7E4F"/>
    <w:rsid w:val="00EB0C5E"/>
    <w:rsid w:val="00EB1DEC"/>
    <w:rsid w:val="00EB22D4"/>
    <w:rsid w:val="00EB2A3C"/>
    <w:rsid w:val="00EB2F1E"/>
    <w:rsid w:val="00EB3B77"/>
    <w:rsid w:val="00EB3C4F"/>
    <w:rsid w:val="00EB4DC1"/>
    <w:rsid w:val="00EB6490"/>
    <w:rsid w:val="00EB726D"/>
    <w:rsid w:val="00EB786B"/>
    <w:rsid w:val="00EC0B0D"/>
    <w:rsid w:val="00EC0C73"/>
    <w:rsid w:val="00EC1754"/>
    <w:rsid w:val="00EC1F4C"/>
    <w:rsid w:val="00EC51CD"/>
    <w:rsid w:val="00EC5B90"/>
    <w:rsid w:val="00EC70FB"/>
    <w:rsid w:val="00EC769A"/>
    <w:rsid w:val="00ED01B6"/>
    <w:rsid w:val="00ED08C9"/>
    <w:rsid w:val="00ED0D0D"/>
    <w:rsid w:val="00ED0DA3"/>
    <w:rsid w:val="00ED12CB"/>
    <w:rsid w:val="00ED1710"/>
    <w:rsid w:val="00ED1D5D"/>
    <w:rsid w:val="00ED20E6"/>
    <w:rsid w:val="00ED2A6E"/>
    <w:rsid w:val="00ED345F"/>
    <w:rsid w:val="00ED3915"/>
    <w:rsid w:val="00ED4523"/>
    <w:rsid w:val="00ED49B8"/>
    <w:rsid w:val="00ED4E41"/>
    <w:rsid w:val="00ED4EA0"/>
    <w:rsid w:val="00ED509E"/>
    <w:rsid w:val="00ED5226"/>
    <w:rsid w:val="00ED5A85"/>
    <w:rsid w:val="00ED5DCD"/>
    <w:rsid w:val="00ED6531"/>
    <w:rsid w:val="00ED7EB7"/>
    <w:rsid w:val="00EE0DBB"/>
    <w:rsid w:val="00EE1782"/>
    <w:rsid w:val="00EE2F5B"/>
    <w:rsid w:val="00EE4363"/>
    <w:rsid w:val="00EE473D"/>
    <w:rsid w:val="00EE475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A41"/>
    <w:rsid w:val="00F01B8A"/>
    <w:rsid w:val="00F0235E"/>
    <w:rsid w:val="00F0255A"/>
    <w:rsid w:val="00F03676"/>
    <w:rsid w:val="00F03BB8"/>
    <w:rsid w:val="00F03F4D"/>
    <w:rsid w:val="00F0407F"/>
    <w:rsid w:val="00F040B2"/>
    <w:rsid w:val="00F04447"/>
    <w:rsid w:val="00F05CFA"/>
    <w:rsid w:val="00F061DF"/>
    <w:rsid w:val="00F06823"/>
    <w:rsid w:val="00F06C51"/>
    <w:rsid w:val="00F12428"/>
    <w:rsid w:val="00F12A50"/>
    <w:rsid w:val="00F13DFA"/>
    <w:rsid w:val="00F142A1"/>
    <w:rsid w:val="00F14CF1"/>
    <w:rsid w:val="00F159CA"/>
    <w:rsid w:val="00F16FCE"/>
    <w:rsid w:val="00F177B8"/>
    <w:rsid w:val="00F2086F"/>
    <w:rsid w:val="00F2103C"/>
    <w:rsid w:val="00F21981"/>
    <w:rsid w:val="00F228D1"/>
    <w:rsid w:val="00F22C6B"/>
    <w:rsid w:val="00F239E0"/>
    <w:rsid w:val="00F23B84"/>
    <w:rsid w:val="00F242F2"/>
    <w:rsid w:val="00F24429"/>
    <w:rsid w:val="00F25578"/>
    <w:rsid w:val="00F25D82"/>
    <w:rsid w:val="00F271AF"/>
    <w:rsid w:val="00F27E2A"/>
    <w:rsid w:val="00F30080"/>
    <w:rsid w:val="00F3019B"/>
    <w:rsid w:val="00F31A5E"/>
    <w:rsid w:val="00F31B4D"/>
    <w:rsid w:val="00F34403"/>
    <w:rsid w:val="00F34A67"/>
    <w:rsid w:val="00F35EF1"/>
    <w:rsid w:val="00F35FEC"/>
    <w:rsid w:val="00F374D5"/>
    <w:rsid w:val="00F408F2"/>
    <w:rsid w:val="00F40989"/>
    <w:rsid w:val="00F40BA3"/>
    <w:rsid w:val="00F42155"/>
    <w:rsid w:val="00F4278A"/>
    <w:rsid w:val="00F42FEE"/>
    <w:rsid w:val="00F43855"/>
    <w:rsid w:val="00F44321"/>
    <w:rsid w:val="00F447E3"/>
    <w:rsid w:val="00F459E5"/>
    <w:rsid w:val="00F463C6"/>
    <w:rsid w:val="00F46E16"/>
    <w:rsid w:val="00F46E9E"/>
    <w:rsid w:val="00F47F8F"/>
    <w:rsid w:val="00F5137F"/>
    <w:rsid w:val="00F51391"/>
    <w:rsid w:val="00F53233"/>
    <w:rsid w:val="00F55511"/>
    <w:rsid w:val="00F56BDA"/>
    <w:rsid w:val="00F56E87"/>
    <w:rsid w:val="00F6043E"/>
    <w:rsid w:val="00F60658"/>
    <w:rsid w:val="00F61142"/>
    <w:rsid w:val="00F61C83"/>
    <w:rsid w:val="00F61D57"/>
    <w:rsid w:val="00F626DB"/>
    <w:rsid w:val="00F62896"/>
    <w:rsid w:val="00F63B9A"/>
    <w:rsid w:val="00F63E9E"/>
    <w:rsid w:val="00F648FC"/>
    <w:rsid w:val="00F64DEA"/>
    <w:rsid w:val="00F657F4"/>
    <w:rsid w:val="00F6688A"/>
    <w:rsid w:val="00F70503"/>
    <w:rsid w:val="00F717D8"/>
    <w:rsid w:val="00F71E90"/>
    <w:rsid w:val="00F7207A"/>
    <w:rsid w:val="00F7238F"/>
    <w:rsid w:val="00F72F38"/>
    <w:rsid w:val="00F73A5E"/>
    <w:rsid w:val="00F73CB2"/>
    <w:rsid w:val="00F740D9"/>
    <w:rsid w:val="00F74A6B"/>
    <w:rsid w:val="00F74EF3"/>
    <w:rsid w:val="00F82162"/>
    <w:rsid w:val="00F82EC4"/>
    <w:rsid w:val="00F837BF"/>
    <w:rsid w:val="00F837F5"/>
    <w:rsid w:val="00F863EA"/>
    <w:rsid w:val="00F865AF"/>
    <w:rsid w:val="00F91171"/>
    <w:rsid w:val="00F92BA0"/>
    <w:rsid w:val="00F93982"/>
    <w:rsid w:val="00F949FD"/>
    <w:rsid w:val="00F94DCD"/>
    <w:rsid w:val="00F956E3"/>
    <w:rsid w:val="00F958BD"/>
    <w:rsid w:val="00F95BAC"/>
    <w:rsid w:val="00F95EA2"/>
    <w:rsid w:val="00F96365"/>
    <w:rsid w:val="00F96BCB"/>
    <w:rsid w:val="00F972FE"/>
    <w:rsid w:val="00F9769E"/>
    <w:rsid w:val="00F979CA"/>
    <w:rsid w:val="00FA0190"/>
    <w:rsid w:val="00FA09CA"/>
    <w:rsid w:val="00FA0B26"/>
    <w:rsid w:val="00FA2080"/>
    <w:rsid w:val="00FA36EB"/>
    <w:rsid w:val="00FA3CF7"/>
    <w:rsid w:val="00FA41D1"/>
    <w:rsid w:val="00FA4658"/>
    <w:rsid w:val="00FA4BF7"/>
    <w:rsid w:val="00FA505B"/>
    <w:rsid w:val="00FA5DB0"/>
    <w:rsid w:val="00FA71CB"/>
    <w:rsid w:val="00FA755B"/>
    <w:rsid w:val="00FA764E"/>
    <w:rsid w:val="00FA789F"/>
    <w:rsid w:val="00FB08EB"/>
    <w:rsid w:val="00FB08FD"/>
    <w:rsid w:val="00FB16DF"/>
    <w:rsid w:val="00FB1FF0"/>
    <w:rsid w:val="00FB2528"/>
    <w:rsid w:val="00FB2D64"/>
    <w:rsid w:val="00FB384B"/>
    <w:rsid w:val="00FB39DC"/>
    <w:rsid w:val="00FB3C08"/>
    <w:rsid w:val="00FB6732"/>
    <w:rsid w:val="00FB6A95"/>
    <w:rsid w:val="00FC0D1B"/>
    <w:rsid w:val="00FC1C09"/>
    <w:rsid w:val="00FC2252"/>
    <w:rsid w:val="00FC281B"/>
    <w:rsid w:val="00FC3258"/>
    <w:rsid w:val="00FC3C02"/>
    <w:rsid w:val="00FC3ECB"/>
    <w:rsid w:val="00FC4398"/>
    <w:rsid w:val="00FC48AB"/>
    <w:rsid w:val="00FC4980"/>
    <w:rsid w:val="00FC5713"/>
    <w:rsid w:val="00FC57CF"/>
    <w:rsid w:val="00FC64AA"/>
    <w:rsid w:val="00FC69A8"/>
    <w:rsid w:val="00FC6BC0"/>
    <w:rsid w:val="00FC703C"/>
    <w:rsid w:val="00FC7DAC"/>
    <w:rsid w:val="00FD1084"/>
    <w:rsid w:val="00FD1243"/>
    <w:rsid w:val="00FD1717"/>
    <w:rsid w:val="00FD1A24"/>
    <w:rsid w:val="00FD1D04"/>
    <w:rsid w:val="00FD1F3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56"/>
    <w:rsid w:val="00FE4980"/>
    <w:rsid w:val="00FE5C4A"/>
    <w:rsid w:val="00FE5CF1"/>
    <w:rsid w:val="00FE6A78"/>
    <w:rsid w:val="00FE7E43"/>
    <w:rsid w:val="00FF0567"/>
    <w:rsid w:val="00FF1C28"/>
    <w:rsid w:val="00FF2390"/>
    <w:rsid w:val="00FF27C8"/>
    <w:rsid w:val="00FF284F"/>
    <w:rsid w:val="00FF2AA4"/>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10448607">
      <w:bodyDiv w:val="1"/>
      <w:marLeft w:val="0"/>
      <w:marRight w:val="0"/>
      <w:marTop w:val="0"/>
      <w:marBottom w:val="0"/>
      <w:divBdr>
        <w:top w:val="none" w:sz="0" w:space="0" w:color="auto"/>
        <w:left w:val="none" w:sz="0" w:space="0" w:color="auto"/>
        <w:bottom w:val="none" w:sz="0" w:space="0" w:color="auto"/>
        <w:right w:val="none" w:sz="0" w:space="0" w:color="auto"/>
      </w:divBdr>
      <w:divsChild>
        <w:div w:id="1158184700">
          <w:marLeft w:val="547"/>
          <w:marRight w:val="0"/>
          <w:marTop w:val="0"/>
          <w:marBottom w:val="0"/>
          <w:divBdr>
            <w:top w:val="none" w:sz="0" w:space="0" w:color="auto"/>
            <w:left w:val="none" w:sz="0" w:space="0" w:color="auto"/>
            <w:bottom w:val="none" w:sz="0" w:space="0" w:color="auto"/>
            <w:right w:val="none" w:sz="0" w:space="0" w:color="auto"/>
          </w:divBdr>
        </w:div>
        <w:div w:id="772822949">
          <w:marLeft w:val="1166"/>
          <w:marRight w:val="0"/>
          <w:marTop w:val="0"/>
          <w:marBottom w:val="0"/>
          <w:divBdr>
            <w:top w:val="none" w:sz="0" w:space="0" w:color="auto"/>
            <w:left w:val="none" w:sz="0" w:space="0" w:color="auto"/>
            <w:bottom w:val="none" w:sz="0" w:space="0" w:color="auto"/>
            <w:right w:val="none" w:sz="0" w:space="0" w:color="auto"/>
          </w:divBdr>
        </w:div>
        <w:div w:id="833881053">
          <w:marLeft w:val="1800"/>
          <w:marRight w:val="0"/>
          <w:marTop w:val="0"/>
          <w:marBottom w:val="0"/>
          <w:divBdr>
            <w:top w:val="none" w:sz="0" w:space="0" w:color="auto"/>
            <w:left w:val="none" w:sz="0" w:space="0" w:color="auto"/>
            <w:bottom w:val="none" w:sz="0" w:space="0" w:color="auto"/>
            <w:right w:val="none" w:sz="0" w:space="0" w:color="auto"/>
          </w:divBdr>
        </w:div>
        <w:div w:id="657465924">
          <w:marLeft w:val="1800"/>
          <w:marRight w:val="0"/>
          <w:marTop w:val="0"/>
          <w:marBottom w:val="0"/>
          <w:divBdr>
            <w:top w:val="none" w:sz="0" w:space="0" w:color="auto"/>
            <w:left w:val="none" w:sz="0" w:space="0" w:color="auto"/>
            <w:bottom w:val="none" w:sz="0" w:space="0" w:color="auto"/>
            <w:right w:val="none" w:sz="0" w:space="0" w:color="auto"/>
          </w:divBdr>
        </w:div>
        <w:div w:id="1007902670">
          <w:marLeft w:val="1800"/>
          <w:marRight w:val="0"/>
          <w:marTop w:val="0"/>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05608449">
      <w:bodyDiv w:val="1"/>
      <w:marLeft w:val="0"/>
      <w:marRight w:val="0"/>
      <w:marTop w:val="0"/>
      <w:marBottom w:val="0"/>
      <w:divBdr>
        <w:top w:val="none" w:sz="0" w:space="0" w:color="auto"/>
        <w:left w:val="none" w:sz="0" w:space="0" w:color="auto"/>
        <w:bottom w:val="none" w:sz="0" w:space="0" w:color="auto"/>
        <w:right w:val="none" w:sz="0" w:space="0" w:color="auto"/>
      </w:divBdr>
      <w:divsChild>
        <w:div w:id="967901345">
          <w:marLeft w:val="547"/>
          <w:marRight w:val="0"/>
          <w:marTop w:val="0"/>
          <w:marBottom w:val="0"/>
          <w:divBdr>
            <w:top w:val="none" w:sz="0" w:space="0" w:color="auto"/>
            <w:left w:val="none" w:sz="0" w:space="0" w:color="auto"/>
            <w:bottom w:val="none" w:sz="0" w:space="0" w:color="auto"/>
            <w:right w:val="none" w:sz="0" w:space="0" w:color="auto"/>
          </w:divBdr>
        </w:div>
        <w:div w:id="1464928635">
          <w:marLeft w:val="1166"/>
          <w:marRight w:val="0"/>
          <w:marTop w:val="0"/>
          <w:marBottom w:val="0"/>
          <w:divBdr>
            <w:top w:val="none" w:sz="0" w:space="0" w:color="auto"/>
            <w:left w:val="none" w:sz="0" w:space="0" w:color="auto"/>
            <w:bottom w:val="none" w:sz="0" w:space="0" w:color="auto"/>
            <w:right w:val="none" w:sz="0" w:space="0" w:color="auto"/>
          </w:divBdr>
        </w:div>
        <w:div w:id="957570061">
          <w:marLeft w:val="1800"/>
          <w:marRight w:val="0"/>
          <w:marTop w:val="0"/>
          <w:marBottom w:val="0"/>
          <w:divBdr>
            <w:top w:val="none" w:sz="0" w:space="0" w:color="auto"/>
            <w:left w:val="none" w:sz="0" w:space="0" w:color="auto"/>
            <w:bottom w:val="none" w:sz="0" w:space="0" w:color="auto"/>
            <w:right w:val="none" w:sz="0" w:space="0" w:color="auto"/>
          </w:divBdr>
        </w:div>
        <w:div w:id="1890916769">
          <w:marLeft w:val="2520"/>
          <w:marRight w:val="0"/>
          <w:marTop w:val="0"/>
          <w:marBottom w:val="0"/>
          <w:divBdr>
            <w:top w:val="none" w:sz="0" w:space="0" w:color="auto"/>
            <w:left w:val="none" w:sz="0" w:space="0" w:color="auto"/>
            <w:bottom w:val="none" w:sz="0" w:space="0" w:color="auto"/>
            <w:right w:val="none" w:sz="0" w:space="0" w:color="auto"/>
          </w:divBdr>
        </w:div>
        <w:div w:id="839195945">
          <w:marLeft w:val="3240"/>
          <w:marRight w:val="0"/>
          <w:marTop w:val="0"/>
          <w:marBottom w:val="0"/>
          <w:divBdr>
            <w:top w:val="none" w:sz="0" w:space="0" w:color="auto"/>
            <w:left w:val="none" w:sz="0" w:space="0" w:color="auto"/>
            <w:bottom w:val="none" w:sz="0" w:space="0" w:color="auto"/>
            <w:right w:val="none" w:sz="0" w:space="0" w:color="auto"/>
          </w:divBdr>
        </w:div>
        <w:div w:id="1566843563">
          <w:marLeft w:val="3240"/>
          <w:marRight w:val="0"/>
          <w:marTop w:val="0"/>
          <w:marBottom w:val="0"/>
          <w:divBdr>
            <w:top w:val="none" w:sz="0" w:space="0" w:color="auto"/>
            <w:left w:val="none" w:sz="0" w:space="0" w:color="auto"/>
            <w:bottom w:val="none" w:sz="0" w:space="0" w:color="auto"/>
            <w:right w:val="none" w:sz="0" w:space="0" w:color="auto"/>
          </w:divBdr>
        </w:div>
        <w:div w:id="1270285057">
          <w:marLeft w:val="3240"/>
          <w:marRight w:val="0"/>
          <w:marTop w:val="0"/>
          <w:marBottom w:val="0"/>
          <w:divBdr>
            <w:top w:val="none" w:sz="0" w:space="0" w:color="auto"/>
            <w:left w:val="none" w:sz="0" w:space="0" w:color="auto"/>
            <w:bottom w:val="none" w:sz="0" w:space="0" w:color="auto"/>
            <w:right w:val="none" w:sz="0" w:space="0" w:color="auto"/>
          </w:divBdr>
        </w:div>
        <w:div w:id="754471600">
          <w:marLeft w:val="3240"/>
          <w:marRight w:val="0"/>
          <w:marTop w:val="0"/>
          <w:marBottom w:val="0"/>
          <w:divBdr>
            <w:top w:val="none" w:sz="0" w:space="0" w:color="auto"/>
            <w:left w:val="none" w:sz="0" w:space="0" w:color="auto"/>
            <w:bottom w:val="none" w:sz="0" w:space="0" w:color="auto"/>
            <w:right w:val="none" w:sz="0" w:space="0" w:color="auto"/>
          </w:divBdr>
        </w:div>
        <w:div w:id="1946381060">
          <w:marLeft w:val="2520"/>
          <w:marRight w:val="0"/>
          <w:marTop w:val="0"/>
          <w:marBottom w:val="0"/>
          <w:divBdr>
            <w:top w:val="none" w:sz="0" w:space="0" w:color="auto"/>
            <w:left w:val="none" w:sz="0" w:space="0" w:color="auto"/>
            <w:bottom w:val="none" w:sz="0" w:space="0" w:color="auto"/>
            <w:right w:val="none" w:sz="0" w:space="0" w:color="auto"/>
          </w:divBdr>
        </w:div>
        <w:div w:id="192349153">
          <w:marLeft w:val="2520"/>
          <w:marRight w:val="0"/>
          <w:marTop w:val="0"/>
          <w:marBottom w:val="0"/>
          <w:divBdr>
            <w:top w:val="none" w:sz="0" w:space="0" w:color="auto"/>
            <w:left w:val="none" w:sz="0" w:space="0" w:color="auto"/>
            <w:bottom w:val="none" w:sz="0" w:space="0" w:color="auto"/>
            <w:right w:val="none" w:sz="0" w:space="0" w:color="auto"/>
          </w:divBdr>
        </w:div>
        <w:div w:id="1870952001">
          <w:marLeft w:val="2520"/>
          <w:marRight w:val="0"/>
          <w:marTop w:val="0"/>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595E4-9B6C-4C56-A5E6-845E04179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8141</TotalTime>
  <Pages>5</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1825</cp:revision>
  <cp:lastPrinted>2015-07-20T19:34:00Z</cp:lastPrinted>
  <dcterms:created xsi:type="dcterms:W3CDTF">2015-09-03T17:40:00Z</dcterms:created>
  <dcterms:modified xsi:type="dcterms:W3CDTF">2017-02-06T17:29:00Z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